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30979E">
      <w:pPr>
        <w:keepNext/>
        <w:pageBreakBefore w:val="0"/>
        <w:numPr>
          <w:ilvl w:val="0"/>
          <w:numId w:val="0"/>
        </w:numPr>
        <w:kinsoku/>
        <w:wordWrap/>
        <w:overflowPunct/>
        <w:topLinePunct w:val="0"/>
        <w:bidi w:val="0"/>
        <w:spacing w:line="500" w:lineRule="exact"/>
        <w:jc w:val="both"/>
        <w:textAlignment w:val="auto"/>
        <w:outlineLvl w:val="0"/>
        <w:rPr>
          <w:rFonts w:hint="eastAsia" w:ascii="仿宋" w:hAnsi="仿宋" w:eastAsia="仿宋" w:cs="仿宋"/>
          <w:b/>
          <w:bCs/>
          <w:color w:val="auto"/>
          <w:sz w:val="24"/>
          <w:szCs w:val="24"/>
          <w:highlight w:val="none"/>
          <w:lang w:val="en-US" w:eastAsia="zh-CN"/>
        </w:rPr>
      </w:pPr>
      <w:bookmarkStart w:id="0" w:name="_Toc18073"/>
      <w:bookmarkStart w:id="4" w:name="_GoBack"/>
      <w:bookmarkEnd w:id="4"/>
      <w:r>
        <w:rPr>
          <w:rFonts w:hint="eastAsia" w:ascii="仿宋" w:hAnsi="仿宋" w:eastAsia="仿宋" w:cs="仿宋"/>
          <w:b/>
          <w:bCs/>
          <w:color w:val="auto"/>
          <w:sz w:val="24"/>
          <w:szCs w:val="24"/>
          <w:highlight w:val="none"/>
          <w:lang w:val="en-US" w:eastAsia="zh-CN"/>
        </w:rPr>
        <w:t>附件1</w:t>
      </w:r>
    </w:p>
    <w:p w14:paraId="3A0721B4">
      <w:pPr>
        <w:keepNext/>
        <w:pageBreakBefore w:val="0"/>
        <w:numPr>
          <w:ilvl w:val="0"/>
          <w:numId w:val="0"/>
        </w:numPr>
        <w:kinsoku/>
        <w:wordWrap/>
        <w:overflowPunct/>
        <w:topLinePunct w:val="0"/>
        <w:bidi w:val="0"/>
        <w:spacing w:line="500" w:lineRule="exact"/>
        <w:jc w:val="center"/>
        <w:textAlignment w:val="auto"/>
        <w:outlineLvl w:val="0"/>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采购需求</w:t>
      </w:r>
      <w:bookmarkEnd w:id="0"/>
    </w:p>
    <w:p w14:paraId="664C64CF">
      <w:pPr>
        <w:keepNext/>
        <w:keepLines w:val="0"/>
        <w:pageBreakBefore w:val="0"/>
        <w:widowControl w:val="0"/>
        <w:kinsoku/>
        <w:wordWrap/>
        <w:overflowPunct/>
        <w:topLinePunct w:val="0"/>
        <w:autoSpaceDE/>
        <w:autoSpaceDN/>
        <w:bidi w:val="0"/>
        <w:adjustRightInd w:val="0"/>
        <w:snapToGrid w:val="0"/>
        <w:spacing w:line="500" w:lineRule="exact"/>
        <w:jc w:val="both"/>
        <w:textAlignment w:val="auto"/>
        <w:outlineLvl w:val="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一、采购项目基本情况</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7"/>
        <w:gridCol w:w="6415"/>
      </w:tblGrid>
      <w:tr w14:paraId="2492C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7" w:type="dxa"/>
            <w:noWrap w:val="0"/>
            <w:vAlign w:val="center"/>
          </w:tcPr>
          <w:p w14:paraId="603C66B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vertAlign w:val="baseline"/>
                <w:lang w:eastAsia="zh-CN"/>
              </w:rPr>
            </w:pPr>
            <w:r>
              <w:rPr>
                <w:rFonts w:hint="eastAsia" w:ascii="仿宋" w:hAnsi="仿宋" w:eastAsia="仿宋" w:cs="仿宋"/>
                <w:color w:val="auto"/>
                <w:kern w:val="0"/>
                <w:sz w:val="21"/>
                <w:szCs w:val="21"/>
                <w:lang w:eastAsia="zh-CN"/>
              </w:rPr>
              <w:t>项目名称</w:t>
            </w:r>
          </w:p>
        </w:tc>
        <w:tc>
          <w:tcPr>
            <w:tcW w:w="6415" w:type="dxa"/>
            <w:noWrap w:val="0"/>
            <w:vAlign w:val="center"/>
          </w:tcPr>
          <w:p w14:paraId="77045E71">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vertAlign w:val="baseline"/>
                <w:lang w:eastAsia="zh-CN"/>
              </w:rPr>
            </w:pPr>
            <w:r>
              <w:rPr>
                <w:rFonts w:hint="eastAsia" w:ascii="仿宋" w:hAnsi="仿宋" w:eastAsia="仿宋" w:cs="仿宋"/>
                <w:color w:val="auto"/>
                <w:kern w:val="0"/>
                <w:sz w:val="21"/>
                <w:szCs w:val="21"/>
                <w:lang w:eastAsia="zh-CN"/>
              </w:rPr>
              <w:t>“</w:t>
            </w:r>
            <w:r>
              <w:rPr>
                <w:rFonts w:hint="eastAsia" w:ascii="仿宋" w:hAnsi="仿宋" w:eastAsia="仿宋" w:cs="仿宋"/>
                <w:color w:val="auto"/>
                <w:kern w:val="0"/>
                <w:sz w:val="21"/>
                <w:szCs w:val="21"/>
                <w:lang w:val="en-US" w:eastAsia="zh-CN"/>
              </w:rPr>
              <w:t>湖南出版投资控股集团管理数字化服务平台</w:t>
            </w:r>
            <w:r>
              <w:rPr>
                <w:rFonts w:hint="eastAsia" w:ascii="仿宋" w:hAnsi="仿宋" w:eastAsia="仿宋" w:cs="仿宋"/>
                <w:color w:val="auto"/>
                <w:kern w:val="0"/>
                <w:sz w:val="21"/>
                <w:szCs w:val="21"/>
                <w:lang w:eastAsia="zh-CN"/>
              </w:rPr>
              <w:t>”配套</w:t>
            </w:r>
            <w:r>
              <w:rPr>
                <w:rFonts w:hint="eastAsia" w:ascii="仿宋" w:hAnsi="仿宋" w:eastAsia="仿宋" w:cs="仿宋"/>
                <w:color w:val="auto"/>
                <w:kern w:val="0"/>
                <w:sz w:val="21"/>
                <w:szCs w:val="21"/>
                <w:lang w:val="en-US" w:eastAsia="zh-CN"/>
              </w:rPr>
              <w:t>硬件与软件项目</w:t>
            </w:r>
          </w:p>
        </w:tc>
      </w:tr>
      <w:tr w14:paraId="49FA3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7" w:type="dxa"/>
            <w:noWrap w:val="0"/>
            <w:vAlign w:val="center"/>
          </w:tcPr>
          <w:p w14:paraId="3E041FB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vertAlign w:val="baseline"/>
                <w:lang w:eastAsia="zh-CN"/>
              </w:rPr>
            </w:pPr>
            <w:r>
              <w:rPr>
                <w:rFonts w:hint="eastAsia" w:ascii="仿宋" w:hAnsi="仿宋" w:eastAsia="仿宋" w:cs="仿宋"/>
                <w:color w:val="auto"/>
                <w:kern w:val="0"/>
                <w:sz w:val="21"/>
                <w:szCs w:val="21"/>
                <w:lang w:val="en-US" w:eastAsia="zh-CN"/>
              </w:rPr>
              <w:t>采购</w:t>
            </w:r>
            <w:r>
              <w:rPr>
                <w:rFonts w:hint="eastAsia" w:ascii="仿宋" w:hAnsi="仿宋" w:eastAsia="仿宋" w:cs="仿宋"/>
                <w:color w:val="auto"/>
                <w:kern w:val="0"/>
                <w:sz w:val="21"/>
                <w:szCs w:val="21"/>
                <w:lang w:eastAsia="zh-CN"/>
              </w:rPr>
              <w:t>限价</w:t>
            </w:r>
          </w:p>
        </w:tc>
        <w:tc>
          <w:tcPr>
            <w:tcW w:w="6415" w:type="dxa"/>
            <w:noWrap w:val="0"/>
            <w:vAlign w:val="center"/>
          </w:tcPr>
          <w:p w14:paraId="76AFEE0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vertAlign w:val="baseline"/>
                <w:lang w:eastAsia="zh-CN"/>
              </w:rPr>
            </w:pPr>
            <w:r>
              <w:rPr>
                <w:rFonts w:hint="eastAsia" w:ascii="仿宋" w:hAnsi="仿宋" w:eastAsia="仿宋" w:cs="仿宋"/>
                <w:color w:val="auto"/>
                <w:kern w:val="0"/>
                <w:sz w:val="21"/>
                <w:szCs w:val="21"/>
                <w:lang w:eastAsia="zh-CN"/>
              </w:rPr>
              <w:t>120万元</w:t>
            </w:r>
          </w:p>
        </w:tc>
      </w:tr>
      <w:tr w14:paraId="1B810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7" w:type="dxa"/>
            <w:noWrap w:val="0"/>
            <w:vAlign w:val="center"/>
          </w:tcPr>
          <w:p w14:paraId="09B2EAA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color w:val="auto"/>
                <w:vertAlign w:val="baseline"/>
                <w:lang w:eastAsia="zh-CN"/>
              </w:rPr>
            </w:pPr>
            <w:r>
              <w:rPr>
                <w:rFonts w:hint="eastAsia" w:ascii="仿宋" w:hAnsi="仿宋" w:eastAsia="仿宋" w:cs="仿宋"/>
                <w:color w:val="auto"/>
                <w:kern w:val="0"/>
                <w:sz w:val="21"/>
                <w:szCs w:val="21"/>
                <w:lang w:eastAsia="zh-CN"/>
              </w:rPr>
              <w:t>采购需求概要</w:t>
            </w:r>
          </w:p>
        </w:tc>
        <w:tc>
          <w:tcPr>
            <w:tcW w:w="6415" w:type="dxa"/>
            <w:noWrap w:val="0"/>
            <w:vAlign w:val="center"/>
          </w:tcPr>
          <w:p w14:paraId="2589AB0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color w:val="auto"/>
                <w:vertAlign w:val="baseline"/>
                <w:lang w:eastAsia="zh-CN"/>
              </w:rPr>
            </w:pPr>
            <w:r>
              <w:rPr>
                <w:rFonts w:hint="eastAsia" w:ascii="仿宋" w:hAnsi="仿宋" w:eastAsia="仿宋" w:cs="仿宋"/>
                <w:color w:val="auto"/>
                <w:kern w:val="0"/>
                <w:sz w:val="21"/>
                <w:szCs w:val="21"/>
                <w:lang w:eastAsia="zh-CN"/>
              </w:rPr>
              <w:t>集团管理数字化服务平台配套硬件、软件，包括符合信创要求的服务器、操作系统、数据库、中间件等。</w:t>
            </w:r>
          </w:p>
        </w:tc>
      </w:tr>
      <w:tr w14:paraId="15745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7" w:type="dxa"/>
            <w:noWrap w:val="0"/>
            <w:vAlign w:val="center"/>
          </w:tcPr>
          <w:p w14:paraId="0FB7F63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vertAlign w:val="baseline"/>
                <w:lang w:eastAsia="zh-CN"/>
              </w:rPr>
            </w:pPr>
            <w:r>
              <w:rPr>
                <w:rFonts w:hint="eastAsia" w:ascii="仿宋" w:hAnsi="仿宋" w:eastAsia="仿宋" w:cs="仿宋"/>
                <w:color w:val="auto"/>
                <w:kern w:val="0"/>
                <w:sz w:val="21"/>
                <w:szCs w:val="21"/>
                <w:lang w:eastAsia="zh-CN"/>
              </w:rPr>
              <w:t>合同履行期限</w:t>
            </w:r>
          </w:p>
        </w:tc>
        <w:tc>
          <w:tcPr>
            <w:tcW w:w="6415" w:type="dxa"/>
            <w:noWrap w:val="0"/>
            <w:vAlign w:val="center"/>
          </w:tcPr>
          <w:p w14:paraId="6EC2AB8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vertAlign w:val="baseline"/>
                <w:lang w:eastAsia="zh-CN"/>
              </w:rPr>
            </w:pPr>
            <w:r>
              <w:rPr>
                <w:rFonts w:hint="eastAsia" w:ascii="仿宋" w:hAnsi="仿宋" w:eastAsia="仿宋" w:cs="仿宋"/>
                <w:color w:val="auto"/>
                <w:kern w:val="0"/>
                <w:sz w:val="21"/>
                <w:szCs w:val="21"/>
                <w:lang w:eastAsia="zh-CN"/>
              </w:rPr>
              <w:t>自合同签订之日起，30天内完成交付。</w:t>
            </w:r>
          </w:p>
        </w:tc>
      </w:tr>
    </w:tbl>
    <w:p w14:paraId="23DE215D">
      <w:pPr>
        <w:keepNext/>
        <w:keepLines w:val="0"/>
        <w:pageBreakBefore w:val="0"/>
        <w:widowControl w:val="0"/>
        <w:kinsoku/>
        <w:wordWrap/>
        <w:overflowPunct/>
        <w:topLinePunct w:val="0"/>
        <w:autoSpaceDE/>
        <w:autoSpaceDN/>
        <w:bidi w:val="0"/>
        <w:adjustRightInd w:val="0"/>
        <w:snapToGrid w:val="0"/>
        <w:spacing w:line="500" w:lineRule="exact"/>
        <w:jc w:val="both"/>
        <w:textAlignment w:val="auto"/>
        <w:outlineLvl w:val="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lang w:eastAsia="zh-CN"/>
        </w:rPr>
        <w:t>、采购项目的需求内容</w:t>
      </w:r>
    </w:p>
    <w:tbl>
      <w:tblPr>
        <w:tblStyle w:val="6"/>
        <w:tblW w:w="4998" w:type="pct"/>
        <w:jc w:val="center"/>
        <w:tblBorders>
          <w:top w:val="single" w:color="auto" w:sz="6" w:space="0"/>
          <w:left w:val="single" w:color="auto" w:sz="6" w:space="0"/>
          <w:bottom w:val="single" w:color="auto" w:sz="6" w:space="0"/>
          <w:right w:val="single" w:color="auto" w:sz="6" w:space="0"/>
          <w:insideH w:val="none" w:color="auto" w:sz="4" w:space="0"/>
          <w:insideV w:val="none" w:color="auto" w:sz="4" w:space="0"/>
        </w:tblBorders>
        <w:tblLayout w:type="fixed"/>
        <w:tblCellMar>
          <w:top w:w="0" w:type="dxa"/>
          <w:left w:w="108" w:type="dxa"/>
          <w:bottom w:w="0" w:type="dxa"/>
          <w:right w:w="108" w:type="dxa"/>
        </w:tblCellMar>
      </w:tblPr>
      <w:tblGrid>
        <w:gridCol w:w="731"/>
        <w:gridCol w:w="1375"/>
        <w:gridCol w:w="5103"/>
        <w:gridCol w:w="653"/>
        <w:gridCol w:w="657"/>
      </w:tblGrid>
      <w:tr w14:paraId="3E096685">
        <w:tblPrEx>
          <w:tblBorders>
            <w:top w:val="single" w:color="auto" w:sz="6" w:space="0"/>
            <w:left w:val="single" w:color="auto" w:sz="6" w:space="0"/>
            <w:bottom w:val="single" w:color="auto" w:sz="6" w:space="0"/>
            <w:right w:val="single" w:color="auto" w:sz="6" w:space="0"/>
            <w:insideH w:val="none" w:color="auto" w:sz="4" w:space="0"/>
            <w:insideV w:val="none" w:color="auto" w:sz="4" w:space="0"/>
          </w:tblBorders>
          <w:tblCellMar>
            <w:top w:w="0" w:type="dxa"/>
            <w:left w:w="108" w:type="dxa"/>
            <w:bottom w:w="0" w:type="dxa"/>
            <w:right w:w="108" w:type="dxa"/>
          </w:tblCellMar>
        </w:tblPrEx>
        <w:trPr>
          <w:trHeight w:val="567" w:hRule="atLeast"/>
          <w:tblHeader/>
          <w:jc w:val="center"/>
        </w:trPr>
        <w:tc>
          <w:tcPr>
            <w:tcW w:w="429" w:type="pct"/>
            <w:tcBorders>
              <w:bottom w:val="single" w:color="000000" w:sz="4" w:space="0"/>
              <w:right w:val="single" w:color="000000" w:sz="4" w:space="0"/>
            </w:tcBorders>
            <w:noWrap/>
            <w:vAlign w:val="center"/>
          </w:tcPr>
          <w:p w14:paraId="5A7BC5F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lang w:eastAsia="zh-CN"/>
              </w:rPr>
              <w:t>序号</w:t>
            </w:r>
          </w:p>
        </w:tc>
        <w:tc>
          <w:tcPr>
            <w:tcW w:w="807" w:type="pct"/>
            <w:tcBorders>
              <w:left w:val="single" w:color="000000" w:sz="4" w:space="0"/>
              <w:bottom w:val="single" w:color="000000" w:sz="4" w:space="0"/>
              <w:right w:val="single" w:color="000000" w:sz="4" w:space="0"/>
            </w:tcBorders>
            <w:noWrap/>
            <w:vAlign w:val="center"/>
          </w:tcPr>
          <w:p w14:paraId="0B3DF92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lang w:eastAsia="zh-CN"/>
              </w:rPr>
              <w:t>设备名称</w:t>
            </w:r>
          </w:p>
        </w:tc>
        <w:tc>
          <w:tcPr>
            <w:tcW w:w="2994" w:type="pct"/>
            <w:tcBorders>
              <w:left w:val="single" w:color="000000" w:sz="4" w:space="0"/>
              <w:bottom w:val="single" w:color="000000" w:sz="4" w:space="0"/>
              <w:right w:val="single" w:color="000000" w:sz="4" w:space="0"/>
            </w:tcBorders>
            <w:noWrap/>
            <w:vAlign w:val="center"/>
          </w:tcPr>
          <w:p w14:paraId="11029B3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lang w:eastAsia="zh-CN"/>
              </w:rPr>
              <w:t>规格参数</w:t>
            </w:r>
          </w:p>
        </w:tc>
        <w:tc>
          <w:tcPr>
            <w:tcW w:w="383" w:type="pct"/>
            <w:tcBorders>
              <w:left w:val="single" w:color="000000" w:sz="4" w:space="0"/>
              <w:bottom w:val="single" w:color="000000" w:sz="4" w:space="0"/>
              <w:right w:val="single" w:color="000000" w:sz="4" w:space="0"/>
            </w:tcBorders>
            <w:noWrap/>
            <w:vAlign w:val="center"/>
          </w:tcPr>
          <w:p w14:paraId="5831935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lang w:eastAsia="zh-CN"/>
              </w:rPr>
              <w:t>数量</w:t>
            </w:r>
          </w:p>
        </w:tc>
        <w:tc>
          <w:tcPr>
            <w:tcW w:w="385" w:type="pct"/>
            <w:tcBorders>
              <w:left w:val="single" w:color="000000" w:sz="4" w:space="0"/>
              <w:bottom w:val="single" w:color="000000" w:sz="4" w:space="0"/>
            </w:tcBorders>
            <w:noWrap/>
            <w:vAlign w:val="center"/>
          </w:tcPr>
          <w:p w14:paraId="7422BB9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lang w:eastAsia="zh-CN"/>
              </w:rPr>
              <w:t>单位</w:t>
            </w:r>
          </w:p>
        </w:tc>
      </w:tr>
      <w:tr w14:paraId="165C8647">
        <w:tblPrEx>
          <w:tblBorders>
            <w:top w:val="single" w:color="auto" w:sz="6" w:space="0"/>
            <w:left w:val="single" w:color="auto" w:sz="6" w:space="0"/>
            <w:bottom w:val="single" w:color="auto" w:sz="6" w:space="0"/>
            <w:right w:val="single" w:color="auto" w:sz="6"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429" w:type="pct"/>
            <w:tcBorders>
              <w:top w:val="single" w:color="000000" w:sz="4" w:space="0"/>
              <w:bottom w:val="single" w:color="000000" w:sz="4" w:space="0"/>
              <w:right w:val="single" w:color="000000" w:sz="4" w:space="0"/>
            </w:tcBorders>
            <w:noWrap/>
            <w:vAlign w:val="center"/>
          </w:tcPr>
          <w:p w14:paraId="443AD33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w:t>
            </w:r>
          </w:p>
        </w:tc>
        <w:tc>
          <w:tcPr>
            <w:tcW w:w="807" w:type="pct"/>
            <w:tcBorders>
              <w:top w:val="single" w:color="000000" w:sz="4" w:space="0"/>
              <w:left w:val="single" w:color="000000" w:sz="4" w:space="0"/>
              <w:bottom w:val="single" w:color="000000" w:sz="4" w:space="0"/>
              <w:right w:val="single" w:color="000000" w:sz="4" w:space="0"/>
            </w:tcBorders>
            <w:noWrap/>
            <w:vAlign w:val="center"/>
          </w:tcPr>
          <w:p w14:paraId="13BA8BB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超融合一体机</w:t>
            </w:r>
          </w:p>
        </w:tc>
        <w:tc>
          <w:tcPr>
            <w:tcW w:w="2994" w:type="pct"/>
            <w:tcBorders>
              <w:top w:val="single" w:color="000000" w:sz="4" w:space="0"/>
              <w:left w:val="single" w:color="000000" w:sz="4" w:space="0"/>
              <w:bottom w:val="single" w:color="000000" w:sz="4" w:space="0"/>
              <w:right w:val="single" w:color="000000" w:sz="4" w:space="0"/>
            </w:tcBorders>
            <w:noWrap w:val="0"/>
            <w:vAlign w:val="center"/>
          </w:tcPr>
          <w:p w14:paraId="2FA693A2">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1.规格：2U机架式服务器；</w:t>
            </w:r>
          </w:p>
          <w:p w14:paraId="251E441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2.CPU：≥2颗国产ARM处理器，单CPU主频≥2.6GHz，单颗CPU核数≥64核；</w:t>
            </w:r>
          </w:p>
          <w:p w14:paraId="594350F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3.内存：≥512GB DDR4；</w:t>
            </w:r>
          </w:p>
          <w:p w14:paraId="3F1BB90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4.硬盘：≥2块960GB SSD系统盘，≥1块3.2TB NVME SSD缓存盘，≥8块4TB SATA主存盘；</w:t>
            </w:r>
          </w:p>
          <w:p w14:paraId="68F88C5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5.网卡：≥4个千兆以太网口，≥2块双端口万兆网卡（含万兆多模模块）；</w:t>
            </w:r>
          </w:p>
          <w:p w14:paraId="3609FA8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6.阵列卡：1块独立RAID卡，2GB Cache，支持RAID0/1/10/5/6/50/60；</w:t>
            </w:r>
          </w:p>
          <w:p w14:paraId="71D2D94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7.电 源：配置冗余电源，单电源功率≥900W；</w:t>
            </w:r>
          </w:p>
          <w:p w14:paraId="5481742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8.提供超融合软件终身授权许可及3年软件订阅保障服务；</w:t>
            </w:r>
          </w:p>
          <w:p w14:paraId="30B14BB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9.通过ARM服务器节点构建，同一节点内实现计算存储融合，可配置副本（2副本或3副本）或EC（纠删码），可满足不同可靠性要求的业务场景；</w:t>
            </w:r>
          </w:p>
          <w:p w14:paraId="356ADA8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10.支持在统一管理界面中监控和管理计算、存储、交换机、虚拟化平台；支持一键式或定期自动输出系统健康巡检报告，包括CPU、内存、硬盘、RAID卡、系统与版本信息的健康状态便于主动识别潜在的风险；</w:t>
            </w:r>
          </w:p>
          <w:p w14:paraId="76FDD0B2">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11.支持上传应用软件包到管理平台，进行应用编排从而实现应用自动化部署，以及实时查看实例状态、CPU、内存监控信息功能，</w:t>
            </w:r>
            <w:r>
              <w:rPr>
                <w:rFonts w:hint="eastAsia" w:ascii="仿宋" w:hAnsi="仿宋" w:eastAsia="仿宋" w:cs="仿宋"/>
                <w:b/>
                <w:bCs/>
                <w:color w:val="auto"/>
                <w:kern w:val="0"/>
                <w:sz w:val="21"/>
                <w:szCs w:val="21"/>
                <w:lang w:eastAsia="zh-CN"/>
              </w:rPr>
              <w:t>提供具备CMA、CNAS标识的第三方权威机构检测报告证明并加盖原厂有效印章；</w:t>
            </w:r>
          </w:p>
          <w:p w14:paraId="7067943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12.支持两节点下的在线平滑扩容，步长为1个节点，无需停机；</w:t>
            </w:r>
          </w:p>
          <w:p w14:paraId="20374441">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13.支持EC折叠（4+2:1），提供更高的存储空间利用率；</w:t>
            </w:r>
          </w:p>
          <w:p w14:paraId="69EB3E9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14.支持卷的虚拟快照功能，每隔1秒创建快照对性能影响小于5%，</w:t>
            </w:r>
            <w:r>
              <w:rPr>
                <w:rFonts w:hint="eastAsia" w:ascii="仿宋" w:hAnsi="仿宋" w:eastAsia="仿宋" w:cs="仿宋"/>
                <w:b/>
                <w:bCs/>
                <w:color w:val="auto"/>
                <w:kern w:val="0"/>
                <w:sz w:val="21"/>
                <w:szCs w:val="21"/>
                <w:lang w:eastAsia="zh-CN"/>
              </w:rPr>
              <w:t>提供具备CMA、CNAS标识的第三方权威机构检测报告证明并加盖原厂有效印章；</w:t>
            </w:r>
          </w:p>
          <w:p w14:paraId="01707D8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15.支持图形化界面划分存储资源池，每个存储资源池即为一个故障域，保证可靠性；</w:t>
            </w:r>
          </w:p>
          <w:p w14:paraId="34EF913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16.支持展示环境中节点信息，包括：设备名称、健康状态、在线状态、节点类型、设备型号、IP地址、机柜、位置、槽位号。能够查看节点监控信息，包括CPU使用率、内存使用率、磁盘使用率、网络带宽使用率信息；</w:t>
            </w:r>
          </w:p>
          <w:p w14:paraId="562CB9E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17.支持磁盘拔出和换位的容错功能，2块磁盘被拔出，能够产生自动告警，5分钟内互换槽位插入，系统不发生数据重构；</w:t>
            </w:r>
          </w:p>
          <w:p w14:paraId="42239D0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lang w:eastAsia="zh-CN"/>
              </w:rPr>
              <w:t>18.以上性能指标招标人有权在项目供货前进行测试验证，未达到或虚假响应的将承担相应法律风险；</w:t>
            </w:r>
          </w:p>
          <w:p w14:paraId="0B1D1FC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b/>
                <w:bCs/>
                <w:color w:val="auto"/>
                <w:kern w:val="0"/>
                <w:sz w:val="21"/>
                <w:szCs w:val="21"/>
                <w:lang w:eastAsia="zh-CN"/>
              </w:rPr>
              <w:t>19.三年原厂售后服务，提供原厂售后服务承诺函。</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BE63CE8">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3</w:t>
            </w:r>
          </w:p>
        </w:tc>
        <w:tc>
          <w:tcPr>
            <w:tcW w:w="385" w:type="pct"/>
            <w:tcBorders>
              <w:top w:val="single" w:color="000000" w:sz="4" w:space="0"/>
              <w:left w:val="single" w:color="000000" w:sz="4" w:space="0"/>
              <w:bottom w:val="single" w:color="000000" w:sz="4" w:space="0"/>
            </w:tcBorders>
            <w:noWrap/>
            <w:vAlign w:val="center"/>
          </w:tcPr>
          <w:p w14:paraId="14DA86D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台</w:t>
            </w:r>
          </w:p>
        </w:tc>
      </w:tr>
      <w:tr w14:paraId="40E92666">
        <w:tblPrEx>
          <w:tblBorders>
            <w:top w:val="single" w:color="auto" w:sz="6" w:space="0"/>
            <w:left w:val="single" w:color="auto" w:sz="6" w:space="0"/>
            <w:bottom w:val="single" w:color="auto" w:sz="6" w:space="0"/>
            <w:right w:val="single" w:color="auto" w:sz="6" w:space="0"/>
            <w:insideH w:val="none" w:color="auto" w:sz="4" w:space="0"/>
            <w:insideV w:val="none" w:color="auto" w:sz="4" w:space="0"/>
          </w:tblBorders>
          <w:tblCellMar>
            <w:top w:w="0" w:type="dxa"/>
            <w:left w:w="108" w:type="dxa"/>
            <w:bottom w:w="0" w:type="dxa"/>
            <w:right w:w="108" w:type="dxa"/>
          </w:tblCellMar>
        </w:tblPrEx>
        <w:trPr>
          <w:trHeight w:val="2484" w:hRule="atLeast"/>
          <w:jc w:val="center"/>
        </w:trPr>
        <w:tc>
          <w:tcPr>
            <w:tcW w:w="429" w:type="pct"/>
            <w:tcBorders>
              <w:top w:val="single" w:color="000000" w:sz="4" w:space="0"/>
              <w:bottom w:val="single" w:color="000000" w:sz="4" w:space="0"/>
              <w:right w:val="single" w:color="000000" w:sz="4" w:space="0"/>
            </w:tcBorders>
            <w:noWrap/>
            <w:vAlign w:val="center"/>
          </w:tcPr>
          <w:p w14:paraId="20D8B6F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2</w:t>
            </w:r>
          </w:p>
        </w:tc>
        <w:tc>
          <w:tcPr>
            <w:tcW w:w="807" w:type="pct"/>
            <w:tcBorders>
              <w:top w:val="single" w:color="000000" w:sz="4" w:space="0"/>
              <w:left w:val="single" w:color="000000" w:sz="4" w:space="0"/>
              <w:bottom w:val="single" w:color="000000" w:sz="4" w:space="0"/>
              <w:right w:val="single" w:color="000000" w:sz="4" w:space="0"/>
            </w:tcBorders>
            <w:noWrap/>
            <w:vAlign w:val="center"/>
          </w:tcPr>
          <w:p w14:paraId="577E0EC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虚拟化软件</w:t>
            </w:r>
          </w:p>
        </w:tc>
        <w:tc>
          <w:tcPr>
            <w:tcW w:w="2994" w:type="pct"/>
            <w:tcBorders>
              <w:top w:val="single" w:color="000000" w:sz="4" w:space="0"/>
              <w:left w:val="single" w:color="000000" w:sz="4" w:space="0"/>
              <w:bottom w:val="single" w:color="000000" w:sz="4" w:space="0"/>
              <w:right w:val="single" w:color="000000" w:sz="4" w:space="0"/>
            </w:tcBorders>
            <w:noWrap w:val="0"/>
            <w:vAlign w:val="center"/>
          </w:tcPr>
          <w:p w14:paraId="0F1DFD3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1.本次配置6个CPU虚拟化软件终身授权许可及3年软件订阅保障服务；</w:t>
            </w:r>
          </w:p>
          <w:p w14:paraId="3FC5D8D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2.虚拟化支持双架构部署，可通过一套平台对x86和ARM架构服务器进行统一管理；</w:t>
            </w:r>
          </w:p>
          <w:p w14:paraId="31A75AB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3.支持虚拟机规格的在线或离线调整，包括CPU、内存、硬盘、网卡等资源，支持重启生效；</w:t>
            </w:r>
          </w:p>
          <w:p w14:paraId="301A049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4.支持虚拟机HA，允许配置集群内HA预留的主机数量，以保证在虚拟机故障时有足够的资源进行切换，支持配置存储故障后是HA虚拟机还是不处理；</w:t>
            </w:r>
          </w:p>
          <w:p w14:paraId="35C4029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5.为提升数据安全性，对接远端存储时，要求指定对接存储时的CHAP信息，支持配置对接存储的存储IP以及端口号，提供功能截图证明材料并加盖原厂有效印章；</w:t>
            </w:r>
          </w:p>
          <w:p w14:paraId="1E74C10D">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6.支持虚拟机离线或关机状态下，从一个存储设备迁移到另一个存储设备中。迁移过程中指定目的磁盘置备格式并指定迁移速率控制，并且可以支持带快照的虚拟机磁盘迁移；</w:t>
            </w:r>
          </w:p>
          <w:p w14:paraId="19E59A9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7.支持配置系统后续分配给虚拟机所使用的MAC地址段，并可支持用户虚拟机IP与MAC绑定，防止IP和MAC地址仿冒；</w:t>
            </w:r>
          </w:p>
          <w:p w14:paraId="70BA8B11">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8.支持虚拟交换机，通过对接收和发送的流量进行整形保证网络质量，至少支持平均带宽、峰值带宽、突发大小、优先级、DHCP隔离、广播抑制、TCP校验和的设置，</w:t>
            </w:r>
            <w:r>
              <w:rPr>
                <w:rFonts w:hint="eastAsia" w:ascii="仿宋" w:hAnsi="仿宋" w:eastAsia="仿宋" w:cs="仿宋"/>
                <w:b/>
                <w:bCs/>
                <w:color w:val="auto"/>
                <w:kern w:val="0"/>
                <w:sz w:val="21"/>
                <w:szCs w:val="21"/>
                <w:lang w:eastAsia="zh-CN"/>
              </w:rPr>
              <w:t>提供功能截图证明材料并加盖原厂有效印章；</w:t>
            </w:r>
          </w:p>
          <w:p w14:paraId="5311E47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9.支持虚拟交换机级别的用户态交换技术（OVS+DPDK），可实现高性能网络转发，提高数据处理性能和吞吐量，提高数据平面应用程序的工作效率，</w:t>
            </w:r>
            <w:r>
              <w:rPr>
                <w:rFonts w:hint="eastAsia" w:ascii="仿宋" w:hAnsi="仿宋" w:eastAsia="仿宋" w:cs="仿宋"/>
                <w:b/>
                <w:bCs/>
                <w:color w:val="auto"/>
                <w:kern w:val="0"/>
                <w:sz w:val="21"/>
                <w:szCs w:val="21"/>
                <w:lang w:eastAsia="zh-CN"/>
              </w:rPr>
              <w:t>提供功能截图证明材料并加盖原厂有效印章；</w:t>
            </w:r>
          </w:p>
          <w:p w14:paraId="02282AF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b/>
                <w:bCs/>
                <w:color w:val="auto"/>
                <w:kern w:val="0"/>
                <w:sz w:val="21"/>
                <w:szCs w:val="21"/>
                <w:lang w:eastAsia="zh-CN"/>
              </w:rPr>
            </w:pPr>
            <w:r>
              <w:rPr>
                <w:rFonts w:hint="eastAsia" w:ascii="仿宋" w:hAnsi="仿宋" w:eastAsia="仿宋" w:cs="仿宋"/>
                <w:color w:val="auto"/>
                <w:kern w:val="0"/>
                <w:sz w:val="21"/>
                <w:szCs w:val="21"/>
                <w:lang w:eastAsia="zh-CN"/>
              </w:rPr>
              <w:t>10.虚拟交换机支持MUX VLAN，采用主从VLAN实现相同端口组的虚拟机网络设备之间的相互通信或隔离，以满足减少VLAN ID大量消耗和降低网络维护难度的诉求，</w:t>
            </w:r>
            <w:r>
              <w:rPr>
                <w:rFonts w:hint="eastAsia" w:ascii="仿宋" w:hAnsi="仿宋" w:eastAsia="仿宋" w:cs="仿宋"/>
                <w:b/>
                <w:bCs/>
                <w:color w:val="auto"/>
                <w:kern w:val="0"/>
                <w:sz w:val="21"/>
                <w:szCs w:val="21"/>
                <w:lang w:eastAsia="zh-CN"/>
              </w:rPr>
              <w:t>提供功能截图并加盖原厂有效印章；</w:t>
            </w:r>
          </w:p>
          <w:p w14:paraId="1BC7490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11.支持记录操作维护人员通过运维管理系统进行的操作日志。系统操作维护人员可以在运维管理系统中筛选并查看、导出、操作日志，不允许删除日志；</w:t>
            </w:r>
          </w:p>
          <w:p w14:paraId="2EA6C9B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12.虚拟化操作系统（Host OS）自主可控，未使用CentOS内核或衍生品，</w:t>
            </w:r>
            <w:r>
              <w:rPr>
                <w:rFonts w:hint="eastAsia" w:ascii="仿宋" w:hAnsi="仿宋" w:eastAsia="仿宋" w:cs="仿宋"/>
                <w:b/>
                <w:bCs/>
                <w:color w:val="auto"/>
                <w:kern w:val="0"/>
                <w:sz w:val="21"/>
                <w:szCs w:val="21"/>
                <w:lang w:eastAsia="zh-CN"/>
              </w:rPr>
              <w:t>提供相关证明材料并加盖原厂有效印章；</w:t>
            </w:r>
          </w:p>
          <w:p w14:paraId="1435EFE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lang w:eastAsia="zh-CN"/>
              </w:rPr>
              <w:t>13.以上性能指标招标人有权在项目供货前进行测试验证，未达到或虚假响应的将承担相应法律风险；</w:t>
            </w:r>
          </w:p>
          <w:p w14:paraId="5B8A2AA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b/>
                <w:bCs/>
                <w:color w:val="auto"/>
                <w:kern w:val="0"/>
                <w:sz w:val="21"/>
                <w:szCs w:val="21"/>
                <w:lang w:eastAsia="zh-CN"/>
              </w:rPr>
              <w:t>14.三年原厂售后服务，提供原厂售后服务承诺函。</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4083BA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w:t>
            </w:r>
          </w:p>
        </w:tc>
        <w:tc>
          <w:tcPr>
            <w:tcW w:w="385" w:type="pct"/>
            <w:tcBorders>
              <w:top w:val="single" w:color="000000" w:sz="4" w:space="0"/>
              <w:left w:val="single" w:color="000000" w:sz="4" w:space="0"/>
              <w:bottom w:val="single" w:color="000000" w:sz="4" w:space="0"/>
            </w:tcBorders>
            <w:noWrap/>
            <w:vAlign w:val="center"/>
          </w:tcPr>
          <w:p w14:paraId="2255F68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套</w:t>
            </w:r>
          </w:p>
        </w:tc>
      </w:tr>
      <w:tr w14:paraId="25B1F65A">
        <w:tblPrEx>
          <w:tblBorders>
            <w:top w:val="single" w:color="auto" w:sz="6" w:space="0"/>
            <w:left w:val="single" w:color="auto" w:sz="6" w:space="0"/>
            <w:bottom w:val="single" w:color="auto" w:sz="6" w:space="0"/>
            <w:right w:val="single" w:color="auto" w:sz="6" w:space="0"/>
            <w:insideH w:val="none" w:color="auto" w:sz="4" w:space="0"/>
            <w:insideV w:val="none" w:color="auto" w:sz="4" w:space="0"/>
          </w:tblBorders>
          <w:tblCellMar>
            <w:top w:w="0" w:type="dxa"/>
            <w:left w:w="108" w:type="dxa"/>
            <w:bottom w:w="0" w:type="dxa"/>
            <w:right w:w="108" w:type="dxa"/>
          </w:tblCellMar>
        </w:tblPrEx>
        <w:trPr>
          <w:trHeight w:val="841" w:hRule="atLeast"/>
          <w:jc w:val="center"/>
        </w:trPr>
        <w:tc>
          <w:tcPr>
            <w:tcW w:w="429" w:type="pct"/>
            <w:tcBorders>
              <w:top w:val="single" w:color="000000" w:sz="4" w:space="0"/>
              <w:bottom w:val="single" w:color="000000" w:sz="4" w:space="0"/>
              <w:right w:val="single" w:color="000000" w:sz="4" w:space="0"/>
            </w:tcBorders>
            <w:noWrap/>
            <w:vAlign w:val="center"/>
          </w:tcPr>
          <w:p w14:paraId="2D57117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3</w:t>
            </w:r>
          </w:p>
        </w:tc>
        <w:tc>
          <w:tcPr>
            <w:tcW w:w="807" w:type="pct"/>
            <w:tcBorders>
              <w:top w:val="single" w:color="000000" w:sz="4" w:space="0"/>
              <w:left w:val="single" w:color="000000" w:sz="4" w:space="0"/>
              <w:bottom w:val="single" w:color="000000" w:sz="4" w:space="0"/>
              <w:right w:val="single" w:color="000000" w:sz="4" w:space="0"/>
            </w:tcBorders>
            <w:noWrap/>
            <w:vAlign w:val="center"/>
          </w:tcPr>
          <w:p w14:paraId="0954EAB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万兆存储交换机</w:t>
            </w:r>
          </w:p>
        </w:tc>
        <w:tc>
          <w:tcPr>
            <w:tcW w:w="2994" w:type="pct"/>
            <w:tcBorders>
              <w:top w:val="single" w:color="000000" w:sz="4" w:space="0"/>
              <w:left w:val="single" w:color="000000" w:sz="4" w:space="0"/>
              <w:bottom w:val="single" w:color="000000" w:sz="4" w:space="0"/>
              <w:right w:val="single" w:color="000000" w:sz="4" w:space="0"/>
            </w:tcBorders>
            <w:noWrap w:val="0"/>
            <w:vAlign w:val="center"/>
          </w:tcPr>
          <w:p w14:paraId="2CAB180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1.基本要求：交换容量≥4.8Tbps，包转发率≥1600Mpps（以官网最小值为准）；</w:t>
            </w:r>
          </w:p>
          <w:p w14:paraId="30986C6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2.配置：≥24个10GE SFP+端口，≥6个40GE QSFP端口；提供8个10GE多模模块，1根40GE高速堆叠电缆；配置可插拔的双电源；</w:t>
            </w:r>
          </w:p>
          <w:p w14:paraId="047F7992">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3.支持可插拔风扇框，风扇框个数≥4；</w:t>
            </w:r>
          </w:p>
          <w:p w14:paraId="7E6E868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4.三层支持静态路由、RIP、RIPng、OSPF、OSPFv3、BGP、BGP4+、ISIS、ISISv6；</w:t>
            </w:r>
          </w:p>
          <w:p w14:paraId="16F9A0C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5.支持VxLAN功能，支持VxLAN二层网关、三层网关，支持BGP EVPN，实现自动建立隧道；</w:t>
            </w:r>
          </w:p>
          <w:p w14:paraId="6C875A6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b/>
                <w:bCs/>
                <w:color w:val="auto"/>
                <w:kern w:val="0"/>
                <w:sz w:val="21"/>
                <w:szCs w:val="21"/>
                <w:lang w:eastAsia="zh-CN"/>
              </w:rPr>
              <w:t>6.提供3年原厂维保服务。</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A7F079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2</w:t>
            </w:r>
          </w:p>
        </w:tc>
        <w:tc>
          <w:tcPr>
            <w:tcW w:w="385" w:type="pct"/>
            <w:tcBorders>
              <w:top w:val="single" w:color="000000" w:sz="4" w:space="0"/>
              <w:left w:val="single" w:color="000000" w:sz="4" w:space="0"/>
              <w:bottom w:val="single" w:color="000000" w:sz="4" w:space="0"/>
            </w:tcBorders>
            <w:noWrap/>
            <w:vAlign w:val="center"/>
          </w:tcPr>
          <w:p w14:paraId="5630413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台</w:t>
            </w:r>
          </w:p>
        </w:tc>
      </w:tr>
      <w:tr w14:paraId="649A96AD">
        <w:tblPrEx>
          <w:tblBorders>
            <w:top w:val="single" w:color="auto" w:sz="6" w:space="0"/>
            <w:left w:val="single" w:color="auto" w:sz="6" w:space="0"/>
            <w:bottom w:val="single" w:color="auto" w:sz="6" w:space="0"/>
            <w:right w:val="single" w:color="auto" w:sz="6"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429" w:type="pct"/>
            <w:tcBorders>
              <w:top w:val="single" w:color="000000" w:sz="4" w:space="0"/>
              <w:bottom w:val="single" w:color="000000" w:sz="4" w:space="0"/>
              <w:right w:val="single" w:color="000000" w:sz="4" w:space="0"/>
            </w:tcBorders>
            <w:noWrap/>
            <w:vAlign w:val="center"/>
          </w:tcPr>
          <w:p w14:paraId="1C2B081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4</w:t>
            </w:r>
          </w:p>
        </w:tc>
        <w:tc>
          <w:tcPr>
            <w:tcW w:w="807" w:type="pct"/>
            <w:tcBorders>
              <w:top w:val="single" w:color="000000" w:sz="4" w:space="0"/>
              <w:left w:val="single" w:color="000000" w:sz="4" w:space="0"/>
              <w:bottom w:val="single" w:color="000000" w:sz="4" w:space="0"/>
              <w:right w:val="single" w:color="000000" w:sz="4" w:space="0"/>
            </w:tcBorders>
            <w:noWrap/>
            <w:vAlign w:val="center"/>
          </w:tcPr>
          <w:p w14:paraId="56767CB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千兆管理交换机</w:t>
            </w:r>
          </w:p>
        </w:tc>
        <w:tc>
          <w:tcPr>
            <w:tcW w:w="2994" w:type="pct"/>
            <w:tcBorders>
              <w:top w:val="single" w:color="000000" w:sz="4" w:space="0"/>
              <w:left w:val="single" w:color="000000" w:sz="4" w:space="0"/>
              <w:bottom w:val="single" w:color="000000" w:sz="4" w:space="0"/>
              <w:right w:val="single" w:color="000000" w:sz="4" w:space="0"/>
            </w:tcBorders>
            <w:noWrap w:val="0"/>
            <w:vAlign w:val="center"/>
          </w:tcPr>
          <w:p w14:paraId="40079E5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1.基本要求：交换容量≥672Gbps，包转发率≥126Mpps（以官网最小值为准）；</w:t>
            </w:r>
          </w:p>
          <w:p w14:paraId="04C57F8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2.配置：≥24个10/100/1000BASE-T以太网端口，≥4个万兆SFP+，提供2个10GE多模模块；</w:t>
            </w:r>
          </w:p>
          <w:p w14:paraId="7671150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3.静态路由、RIPv1/2、RIPng、OSPF、OSPFv3；</w:t>
            </w:r>
          </w:p>
          <w:p w14:paraId="2CB26A2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b/>
                <w:bCs/>
                <w:color w:val="auto"/>
                <w:kern w:val="0"/>
                <w:sz w:val="21"/>
                <w:szCs w:val="21"/>
                <w:lang w:eastAsia="zh-CN"/>
              </w:rPr>
              <w:t>4.提供3年原厂维保服务。</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7D4664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w:t>
            </w:r>
          </w:p>
        </w:tc>
        <w:tc>
          <w:tcPr>
            <w:tcW w:w="385" w:type="pct"/>
            <w:tcBorders>
              <w:top w:val="single" w:color="000000" w:sz="4" w:space="0"/>
              <w:left w:val="single" w:color="000000" w:sz="4" w:space="0"/>
              <w:bottom w:val="single" w:color="000000" w:sz="4" w:space="0"/>
            </w:tcBorders>
            <w:noWrap/>
            <w:vAlign w:val="center"/>
          </w:tcPr>
          <w:p w14:paraId="2ACA87D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台</w:t>
            </w:r>
          </w:p>
        </w:tc>
      </w:tr>
      <w:tr w14:paraId="3EC33588">
        <w:tblPrEx>
          <w:tblBorders>
            <w:top w:val="single" w:color="auto" w:sz="6" w:space="0"/>
            <w:left w:val="single" w:color="auto" w:sz="6" w:space="0"/>
            <w:bottom w:val="single" w:color="auto" w:sz="6" w:space="0"/>
            <w:right w:val="single" w:color="auto" w:sz="6"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429" w:type="pct"/>
            <w:tcBorders>
              <w:top w:val="single" w:color="000000" w:sz="4" w:space="0"/>
              <w:bottom w:val="single" w:color="000000" w:sz="4" w:space="0"/>
              <w:right w:val="single" w:color="000000" w:sz="4" w:space="0"/>
            </w:tcBorders>
            <w:noWrap/>
            <w:vAlign w:val="center"/>
          </w:tcPr>
          <w:p w14:paraId="69D9DCB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bookmarkStart w:id="1" w:name="OLE_LINK9" w:colFirst="2" w:colLast="2"/>
            <w:r>
              <w:rPr>
                <w:rFonts w:hint="eastAsia" w:ascii="仿宋" w:hAnsi="仿宋" w:eastAsia="仿宋" w:cs="仿宋"/>
                <w:color w:val="auto"/>
                <w:kern w:val="0"/>
                <w:sz w:val="21"/>
                <w:szCs w:val="21"/>
                <w:lang w:eastAsia="zh-CN"/>
              </w:rPr>
              <w:t>5</w:t>
            </w:r>
          </w:p>
        </w:tc>
        <w:tc>
          <w:tcPr>
            <w:tcW w:w="807" w:type="pct"/>
            <w:tcBorders>
              <w:top w:val="single" w:color="000000" w:sz="4" w:space="0"/>
              <w:left w:val="single" w:color="000000" w:sz="4" w:space="0"/>
              <w:bottom w:val="single" w:color="000000" w:sz="4" w:space="0"/>
              <w:right w:val="single" w:color="000000" w:sz="4" w:space="0"/>
            </w:tcBorders>
            <w:noWrap/>
            <w:vAlign w:val="center"/>
          </w:tcPr>
          <w:p w14:paraId="6E60420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数据库</w:t>
            </w:r>
          </w:p>
        </w:tc>
        <w:tc>
          <w:tcPr>
            <w:tcW w:w="2994" w:type="pct"/>
            <w:tcBorders>
              <w:top w:val="single" w:color="000000" w:sz="4" w:space="0"/>
              <w:left w:val="single" w:color="000000" w:sz="4" w:space="0"/>
              <w:bottom w:val="single" w:color="000000" w:sz="4" w:space="0"/>
              <w:right w:val="single" w:color="000000" w:sz="4" w:space="0"/>
            </w:tcBorders>
            <w:noWrap w:val="0"/>
            <w:vAlign w:val="center"/>
          </w:tcPr>
          <w:p w14:paraId="1323DEA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b/>
                <w:bCs/>
                <w:color w:val="auto"/>
                <w:kern w:val="0"/>
                <w:sz w:val="21"/>
                <w:szCs w:val="21"/>
                <w:lang w:eastAsia="zh-CN"/>
              </w:rPr>
            </w:pPr>
            <w:bookmarkStart w:id="2" w:name="OLE_LINK3"/>
            <w:r>
              <w:rPr>
                <w:rFonts w:hint="eastAsia" w:ascii="仿宋" w:hAnsi="仿宋" w:eastAsia="仿宋" w:cs="仿宋"/>
                <w:b/>
                <w:bCs/>
                <w:color w:val="auto"/>
                <w:kern w:val="0"/>
                <w:sz w:val="21"/>
                <w:szCs w:val="21"/>
                <w:lang w:eastAsia="zh-CN"/>
              </w:rPr>
              <w:t>1.产品须为国产集中式关系型数据库，必须提供软件著作权证书；</w:t>
            </w:r>
          </w:p>
          <w:p w14:paraId="21DFF98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lang w:eastAsia="zh-CN"/>
              </w:rPr>
              <w:t>2.数据库产品通过中国信息安全测评中心或国家保密科技测评中心的安全可靠评测，且在集中式数据库目录中；</w:t>
            </w:r>
          </w:p>
          <w:bookmarkEnd w:id="2"/>
          <w:p w14:paraId="50C15E8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3.具有跨操作系统平台的能力，支持Linux、麒麟、UOS等操作系统，支持INTEL、鲲鹏、飞腾等处理器；</w:t>
            </w:r>
          </w:p>
          <w:p w14:paraId="1FEA0D1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4.支持HA故障转移集群和主备同步技术，支持共享存储集群。支持读写分离以及故障转移功能，支持主从、一主多从、级联复制等架构，从库能设置延迟复制和优选提交复制。集群在确保RPO=0的前提下，可以实现RTO≤10s；</w:t>
            </w:r>
          </w:p>
          <w:p w14:paraId="6C4F76C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5.内置内存引擎，是真正的存储引擎，可通过简单操作语句直接指定是否启用内存引擎。能够实现在同一个实例中内存表跟普通的磁盘表的共存，内存表支持ACID、常用SQL语法、存储过程和数据持久化等功能特性，针对内存表支持使用PREPARE语句的查询原生编译；</w:t>
            </w:r>
          </w:p>
          <w:p w14:paraId="5268C71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6.基于数据库内核本身，不通过插件或第三方软件即可实现在同一数据库实例中，同时支持行存表和列存表，可通过查看表详情或内置视图明确该表属于行存还是列存形态，在同一个事务中，可分别对行存表和列存表进行增删改查操作，并且支持将行存表与列存表进行多表关联查询操作；</w:t>
            </w:r>
          </w:p>
          <w:p w14:paraId="6BD268E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7.对于简单sql，可跳过执行器执行框架，并且直接调用存储接口，加速简单查询的执行速度；</w:t>
            </w:r>
          </w:p>
          <w:p w14:paraId="69798C3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8.数据库内核自带检测坏块函数，可以通过该内置函数发现丢失的文件，并可以修复。对于表文件损坏的页面，不借助任何工具通过备库自动修复；</w:t>
            </w:r>
          </w:p>
          <w:p w14:paraId="556EABD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9.在</w:t>
            </w:r>
            <w:r>
              <w:rPr>
                <w:rFonts w:hint="eastAsia" w:ascii="仿宋" w:hAnsi="仿宋" w:eastAsia="仿宋" w:cs="仿宋"/>
                <w:color w:val="auto"/>
                <w:kern w:val="0"/>
                <w:sz w:val="21"/>
                <w:szCs w:val="21"/>
                <w:lang w:val="en-US" w:eastAsia="zh-CN"/>
              </w:rPr>
              <w:t xml:space="preserve"> </w:t>
            </w:r>
            <w:r>
              <w:rPr>
                <w:rFonts w:hint="eastAsia" w:ascii="仿宋" w:hAnsi="仿宋" w:eastAsia="仿宋" w:cs="仿宋"/>
                <w:color w:val="auto"/>
                <w:kern w:val="0"/>
                <w:sz w:val="21"/>
                <w:szCs w:val="21"/>
                <w:lang w:eastAsia="zh-CN"/>
              </w:rPr>
              <w:t>2 路国产处理器平台上，在不低于100张千万行表的数据规模下，持续10分钟的不低于1000并发操作，数据库的单值数据查询的事务处理可达100万次/秒；</w:t>
            </w:r>
          </w:p>
          <w:p w14:paraId="5FADE6D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lang w:eastAsia="zh-CN"/>
              </w:rPr>
              <w:t>10.以上性能指标招标人有权在项目供货前进行测试验证，未达到或虚假响应的将承担相应法律风险；</w:t>
            </w:r>
          </w:p>
          <w:p w14:paraId="0E5C8CB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b/>
                <w:bCs/>
                <w:color w:val="auto"/>
                <w:kern w:val="0"/>
                <w:sz w:val="21"/>
                <w:szCs w:val="21"/>
                <w:lang w:eastAsia="zh-CN"/>
              </w:rPr>
              <w:t>11.三年原厂售后服务，提供原厂售后服务承诺函。</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832E71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3</w:t>
            </w:r>
          </w:p>
        </w:tc>
        <w:tc>
          <w:tcPr>
            <w:tcW w:w="385" w:type="pct"/>
            <w:tcBorders>
              <w:top w:val="single" w:color="000000" w:sz="4" w:space="0"/>
              <w:left w:val="single" w:color="000000" w:sz="4" w:space="0"/>
              <w:bottom w:val="single" w:color="000000" w:sz="4" w:space="0"/>
            </w:tcBorders>
            <w:noWrap/>
            <w:vAlign w:val="center"/>
          </w:tcPr>
          <w:p w14:paraId="7C4D3AE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套</w:t>
            </w:r>
          </w:p>
        </w:tc>
      </w:tr>
      <w:bookmarkEnd w:id="1"/>
      <w:tr w14:paraId="7501BC1F">
        <w:tblPrEx>
          <w:tblBorders>
            <w:top w:val="single" w:color="auto" w:sz="6" w:space="0"/>
            <w:left w:val="single" w:color="auto" w:sz="6" w:space="0"/>
            <w:bottom w:val="single" w:color="auto" w:sz="6" w:space="0"/>
            <w:right w:val="single" w:color="auto" w:sz="6"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429" w:type="pct"/>
            <w:tcBorders>
              <w:top w:val="single" w:color="000000" w:sz="4" w:space="0"/>
              <w:bottom w:val="single" w:color="000000" w:sz="4" w:space="0"/>
              <w:right w:val="single" w:color="000000" w:sz="4" w:space="0"/>
            </w:tcBorders>
            <w:noWrap/>
            <w:vAlign w:val="center"/>
          </w:tcPr>
          <w:p w14:paraId="00E3903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6</w:t>
            </w:r>
          </w:p>
        </w:tc>
        <w:tc>
          <w:tcPr>
            <w:tcW w:w="807" w:type="pct"/>
            <w:tcBorders>
              <w:top w:val="single" w:color="000000" w:sz="4" w:space="0"/>
              <w:left w:val="single" w:color="000000" w:sz="4" w:space="0"/>
              <w:bottom w:val="single" w:color="000000" w:sz="4" w:space="0"/>
              <w:right w:val="single" w:color="000000" w:sz="4" w:space="0"/>
            </w:tcBorders>
            <w:noWrap/>
            <w:vAlign w:val="center"/>
          </w:tcPr>
          <w:p w14:paraId="5C491FD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中间件</w:t>
            </w:r>
          </w:p>
        </w:tc>
        <w:tc>
          <w:tcPr>
            <w:tcW w:w="2994" w:type="pct"/>
            <w:tcBorders>
              <w:top w:val="single" w:color="000000" w:sz="4" w:space="0"/>
              <w:left w:val="single" w:color="000000" w:sz="4" w:space="0"/>
              <w:bottom w:val="single" w:color="000000" w:sz="4" w:space="0"/>
              <w:right w:val="single" w:color="000000" w:sz="4" w:space="0"/>
            </w:tcBorders>
            <w:noWrap w:val="0"/>
            <w:vAlign w:val="center"/>
          </w:tcPr>
          <w:p w14:paraId="3827BF32">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1.具备Web应用、EJB应用、身份验证、日志审计等基本功能，提供类库管理、集成环境管理、图形化监控、JVM配置、垃圾回收配置等工具，支持实例部署、数据库连接服务，为业务系统提供运行环境；</w:t>
            </w:r>
          </w:p>
          <w:p w14:paraId="20801BA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2.应用中间件产品性能须达到国际通行的中间件性能SPECjEnterprise2018 Web Profile基准测试8000EjOPS （Enterprise java Operation Per Second）以上；</w:t>
            </w:r>
          </w:p>
          <w:p w14:paraId="36D2E7D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3.为保证系统稳定运行，中间件需具有较高负载能力，要求在国产信创环境下，满足一百万并发同时在线访问能力，且平均响应时间低于20毫秒。</w:t>
            </w:r>
            <w:r>
              <w:rPr>
                <w:rFonts w:hint="eastAsia" w:ascii="仿宋" w:hAnsi="仿宋" w:eastAsia="仿宋" w:cs="仿宋"/>
                <w:b/>
                <w:bCs/>
                <w:color w:val="auto"/>
                <w:kern w:val="0"/>
                <w:sz w:val="21"/>
                <w:szCs w:val="21"/>
                <w:lang w:eastAsia="zh-CN"/>
              </w:rPr>
              <w:t xml:space="preserve">提供盖检测专用章的第三方权威性认证机构出具的《性能测试报告》； </w:t>
            </w:r>
          </w:p>
          <w:p w14:paraId="7D580CD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b/>
                <w:bCs/>
                <w:color w:val="auto"/>
                <w:kern w:val="0"/>
                <w:sz w:val="21"/>
                <w:szCs w:val="21"/>
                <w:lang w:eastAsia="zh-CN"/>
              </w:rPr>
              <w:t>4.产品通过Jakarta EE 8、9、9.1、10认证，分别提供通过Jakarta EE 8、9、9.1、10认证的官网查询网址及截图证明并加盖原厂公章</w:t>
            </w:r>
            <w:r>
              <w:rPr>
                <w:rFonts w:hint="eastAsia" w:ascii="仿宋" w:hAnsi="仿宋" w:eastAsia="仿宋" w:cs="仿宋"/>
                <w:color w:val="auto"/>
                <w:kern w:val="0"/>
                <w:sz w:val="21"/>
                <w:szCs w:val="21"/>
                <w:lang w:eastAsia="zh-CN"/>
              </w:rPr>
              <w:t>；</w:t>
            </w:r>
          </w:p>
          <w:p w14:paraId="61704DC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lang w:eastAsia="zh-CN"/>
              </w:rPr>
              <w:t>5.以上性能指标招标人有权在项目供货前进行测试验证，未达到或虚假响应的将承担相应法律风险；</w:t>
            </w:r>
          </w:p>
          <w:p w14:paraId="55E256F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b/>
                <w:bCs/>
                <w:color w:val="auto"/>
                <w:kern w:val="0"/>
                <w:sz w:val="21"/>
                <w:szCs w:val="21"/>
                <w:lang w:eastAsia="zh-CN"/>
              </w:rPr>
              <w:t>6.三年原厂售后服务，提供原厂售后服务承诺函。</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F29930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6</w:t>
            </w:r>
          </w:p>
        </w:tc>
        <w:tc>
          <w:tcPr>
            <w:tcW w:w="385" w:type="pct"/>
            <w:tcBorders>
              <w:top w:val="single" w:color="000000" w:sz="4" w:space="0"/>
              <w:left w:val="single" w:color="000000" w:sz="4" w:space="0"/>
              <w:bottom w:val="single" w:color="000000" w:sz="4" w:space="0"/>
            </w:tcBorders>
            <w:noWrap/>
            <w:vAlign w:val="center"/>
          </w:tcPr>
          <w:p w14:paraId="1E59ABA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套</w:t>
            </w:r>
          </w:p>
        </w:tc>
      </w:tr>
      <w:tr w14:paraId="22DF52F1">
        <w:tblPrEx>
          <w:tblBorders>
            <w:top w:val="single" w:color="auto" w:sz="6" w:space="0"/>
            <w:left w:val="single" w:color="auto" w:sz="6" w:space="0"/>
            <w:bottom w:val="single" w:color="auto" w:sz="6" w:space="0"/>
            <w:right w:val="single" w:color="auto" w:sz="6" w:space="0"/>
            <w:insideH w:val="none" w:color="auto" w:sz="4" w:space="0"/>
            <w:insideV w:val="none" w:color="auto" w:sz="4" w:space="0"/>
          </w:tblBorders>
          <w:tblCellMar>
            <w:top w:w="0" w:type="dxa"/>
            <w:left w:w="108" w:type="dxa"/>
            <w:bottom w:w="0" w:type="dxa"/>
            <w:right w:w="108" w:type="dxa"/>
          </w:tblCellMar>
        </w:tblPrEx>
        <w:trPr>
          <w:trHeight w:val="2117" w:hRule="atLeast"/>
          <w:jc w:val="center"/>
        </w:trPr>
        <w:tc>
          <w:tcPr>
            <w:tcW w:w="429" w:type="pct"/>
            <w:tcBorders>
              <w:top w:val="single" w:color="000000" w:sz="4" w:space="0"/>
              <w:right w:val="single" w:color="000000" w:sz="4" w:space="0"/>
            </w:tcBorders>
            <w:noWrap/>
            <w:vAlign w:val="center"/>
          </w:tcPr>
          <w:p w14:paraId="76C920C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7</w:t>
            </w:r>
          </w:p>
        </w:tc>
        <w:tc>
          <w:tcPr>
            <w:tcW w:w="807" w:type="pct"/>
            <w:tcBorders>
              <w:top w:val="single" w:color="000000" w:sz="4" w:space="0"/>
              <w:left w:val="single" w:color="000000" w:sz="4" w:space="0"/>
              <w:right w:val="single" w:color="000000" w:sz="4" w:space="0"/>
            </w:tcBorders>
            <w:noWrap/>
            <w:vAlign w:val="center"/>
          </w:tcPr>
          <w:p w14:paraId="183B785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服务器操作系统</w:t>
            </w:r>
          </w:p>
        </w:tc>
        <w:tc>
          <w:tcPr>
            <w:tcW w:w="2994" w:type="pct"/>
            <w:tcBorders>
              <w:top w:val="single" w:color="000000" w:sz="4" w:space="0"/>
              <w:left w:val="single" w:color="000000" w:sz="4" w:space="0"/>
              <w:right w:val="single" w:color="000000" w:sz="4" w:space="0"/>
            </w:tcBorders>
            <w:noWrap w:val="0"/>
            <w:vAlign w:val="center"/>
          </w:tcPr>
          <w:p w14:paraId="25D351D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1.支持龙芯、兆芯、飞腾、鲲鹏、海光、申威、Intel/AMD等主流国内外芯片；</w:t>
            </w:r>
          </w:p>
          <w:p w14:paraId="4DDD161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2.具备文件系统管理、设备管理、用户管理、日志管理、软件包管理、磁盘管理等基本功能；</w:t>
            </w:r>
          </w:p>
          <w:p w14:paraId="27EE8B9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3.提供服务配置和管理、进程管理、网络管理、资源管理和监控、文件共享、系统更新等服务器常用工具和集成开发环境；</w:t>
            </w:r>
          </w:p>
          <w:p w14:paraId="78519B9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4.支持XFS、EXT3、EXT4、GFS2、NTFS、FAT32等文件系统，支持分区创建、格式化、读写等，并提供文件系统完整性检查工具对文件系统完整性进行检测和修复；</w:t>
            </w:r>
          </w:p>
          <w:p w14:paraId="696BCEF2">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5.支持HTTP、DNS、FTP、TFTP、SSH、SMTP、IMAP、NTP、DHCP、Bonding、SNMP、Squid、OpenLDAP、Samba、NFS等多种网络协议；</w:t>
            </w:r>
          </w:p>
          <w:p w14:paraId="6001030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6.支持常见的内核虚拟化技术KVM、LXC和容器虚拟化docker、isulad等，支持虚拟机磁盘加密、RBD协议驱动、热迁移等功能；</w:t>
            </w:r>
          </w:p>
          <w:p w14:paraId="566C5EE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7.支持集成Qt、C/C++、ObjectiveC/C++、Fortran、Python、perl、Shell、Ruby、PHP、java1.7/1.8/11等；</w:t>
            </w:r>
          </w:p>
          <w:p w14:paraId="0F09529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8.支持Ceph、GlusterFS、kubernetes等云原生技术生态。</w:t>
            </w:r>
          </w:p>
          <w:p w14:paraId="3BCE568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9.支持作为客户机安装到KVM、Xen、Hyper-V、ESXi等虚拟机和云平台；</w:t>
            </w:r>
          </w:p>
          <w:p w14:paraId="020231A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10.兼容主流国产数据库和国外开源数据库、虚拟化和容器技术、云计算和大数据等平台；</w:t>
            </w:r>
          </w:p>
          <w:p w14:paraId="77E0B67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11.兼容中创、东方通、金蝶、普元、宝兰德、华宇、Tomcat、Nginx、WebLogic等主流国内外中间件；</w:t>
            </w:r>
          </w:p>
          <w:p w14:paraId="520BDB0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12.兼容国内外主流的服务器、存储等硬件产品，包括华为、长城、百信、曙光、浪潮、同方等；</w:t>
            </w:r>
          </w:p>
          <w:p w14:paraId="15B5E0B1">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13.系统支持光盘、U盘、硬件BMC等多种安装方式；</w:t>
            </w:r>
          </w:p>
          <w:p w14:paraId="03786EF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14.系统支持最小安装、文件及打印服务器、基础设施服务器、基本网页服务器、最小虚拟化主机、带GUI的服务器等多种安装模式；</w:t>
            </w:r>
          </w:p>
          <w:p w14:paraId="2419B73D">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15.产品应为中国信息安全测评中心公布的《安全可靠测评结果公告》内的产品，安全可靠等级在I级以上，并在有效期内</w:t>
            </w:r>
            <w:r>
              <w:rPr>
                <w:rFonts w:hint="eastAsia" w:ascii="仿宋" w:hAnsi="仿宋" w:eastAsia="仿宋" w:cs="仿宋"/>
                <w:b/>
                <w:bCs/>
                <w:color w:val="auto"/>
                <w:kern w:val="0"/>
                <w:sz w:val="21"/>
                <w:szCs w:val="21"/>
                <w:lang w:eastAsia="zh-CN"/>
              </w:rPr>
              <w:t>，需提供截图证明材料；</w:t>
            </w:r>
          </w:p>
          <w:p w14:paraId="433878E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16.支持内核和核外自主研发的安全访问框架，支持多策略融合访问控制，支持SELinux/AppArmor 等安全机制同时挂载切换，</w:t>
            </w:r>
            <w:r>
              <w:rPr>
                <w:rFonts w:hint="eastAsia" w:ascii="仿宋" w:hAnsi="仿宋" w:eastAsia="仿宋" w:cs="仿宋"/>
                <w:b/>
                <w:bCs/>
                <w:color w:val="auto"/>
                <w:kern w:val="0"/>
                <w:sz w:val="21"/>
                <w:szCs w:val="21"/>
                <w:lang w:eastAsia="zh-CN"/>
              </w:rPr>
              <w:t>提供功能截图；</w:t>
            </w:r>
          </w:p>
          <w:p w14:paraId="0545A1F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lang w:eastAsia="zh-CN"/>
              </w:rPr>
              <w:t>17.软件制造商服务交付能力符合《软件服务商交付能力评估标准》（T/SIA009-2020）标准，并通过中国软件行业协会SDCA软件服务商交付能力一级认证审核，需提供认证证书；</w:t>
            </w:r>
          </w:p>
          <w:p w14:paraId="6D40634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18.提供操作系统原厂商技术服务，包含系统安装、漏洞修复、故障处理等技术支持；</w:t>
            </w:r>
          </w:p>
          <w:p w14:paraId="5D687F9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b w:val="0"/>
                <w:bCs w:val="0"/>
                <w:color w:val="auto"/>
                <w:kern w:val="0"/>
                <w:sz w:val="21"/>
                <w:szCs w:val="21"/>
                <w:lang w:eastAsia="zh-CN"/>
              </w:rPr>
            </w:pPr>
            <w:r>
              <w:rPr>
                <w:rFonts w:hint="eastAsia" w:ascii="仿宋" w:hAnsi="仿宋" w:eastAsia="仿宋" w:cs="仿宋"/>
                <w:b w:val="0"/>
                <w:bCs w:val="0"/>
                <w:color w:val="auto"/>
                <w:kern w:val="0"/>
                <w:sz w:val="21"/>
                <w:szCs w:val="21"/>
                <w:lang w:eastAsia="zh-CN"/>
              </w:rPr>
              <w:t>1</w:t>
            </w:r>
            <w:r>
              <w:rPr>
                <w:rFonts w:hint="eastAsia" w:ascii="仿宋" w:hAnsi="仿宋" w:eastAsia="仿宋" w:cs="仿宋"/>
                <w:b/>
                <w:bCs/>
                <w:color w:val="auto"/>
                <w:kern w:val="0"/>
                <w:sz w:val="21"/>
                <w:szCs w:val="21"/>
                <w:lang w:eastAsia="zh-CN"/>
              </w:rPr>
              <w:t>9.以上性能指标招标人有权在项目供货前进行测试验证，未达到或虚假响应的将承担相应法律风险；</w:t>
            </w:r>
          </w:p>
          <w:p w14:paraId="7F0E617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kern w:val="0"/>
                <w:sz w:val="21"/>
                <w:szCs w:val="21"/>
                <w:lang w:eastAsia="zh-CN"/>
              </w:rPr>
            </w:pPr>
            <w:r>
              <w:rPr>
                <w:rFonts w:hint="eastAsia" w:ascii="仿宋" w:hAnsi="仿宋" w:eastAsia="仿宋" w:cs="仿宋"/>
                <w:b/>
                <w:bCs/>
                <w:color w:val="auto"/>
                <w:kern w:val="0"/>
                <w:sz w:val="21"/>
                <w:szCs w:val="21"/>
                <w:lang w:eastAsia="zh-CN"/>
              </w:rPr>
              <w:t>20.三年原厂售后服务，提供原厂售后服务承诺函。</w:t>
            </w:r>
          </w:p>
        </w:tc>
        <w:tc>
          <w:tcPr>
            <w:tcW w:w="383" w:type="pct"/>
            <w:tcBorders>
              <w:top w:val="single" w:color="000000" w:sz="4" w:space="0"/>
              <w:left w:val="single" w:color="000000" w:sz="4" w:space="0"/>
              <w:right w:val="single" w:color="000000" w:sz="4" w:space="0"/>
            </w:tcBorders>
            <w:noWrap w:val="0"/>
            <w:vAlign w:val="center"/>
          </w:tcPr>
          <w:p w14:paraId="5FA3D69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10</w:t>
            </w:r>
          </w:p>
        </w:tc>
        <w:tc>
          <w:tcPr>
            <w:tcW w:w="385" w:type="pct"/>
            <w:tcBorders>
              <w:top w:val="single" w:color="000000" w:sz="4" w:space="0"/>
              <w:left w:val="single" w:color="000000" w:sz="4" w:space="0"/>
            </w:tcBorders>
            <w:noWrap/>
            <w:vAlign w:val="center"/>
          </w:tcPr>
          <w:p w14:paraId="3405EA7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eastAsia="zh-CN"/>
              </w:rPr>
              <w:t>套</w:t>
            </w:r>
          </w:p>
        </w:tc>
      </w:tr>
    </w:tbl>
    <w:p w14:paraId="1C40F915">
      <w:pPr>
        <w:pageBreakBefore w:val="0"/>
        <w:widowControl/>
        <w:kinsoku/>
        <w:wordWrap/>
        <w:overflowPunct/>
        <w:topLinePunct w:val="0"/>
        <w:bidi w:val="0"/>
        <w:spacing w:line="500" w:lineRule="exact"/>
        <w:ind w:firstLine="482" w:firstLineChars="200"/>
        <w:jc w:val="left"/>
        <w:textAlignment w:val="auto"/>
        <w:rPr>
          <w:rFonts w:hint="default"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注：提供所投产品的彩页信息或技术白皮书。</w:t>
      </w:r>
    </w:p>
    <w:p w14:paraId="459D7217">
      <w:pPr>
        <w:keepNext/>
        <w:keepLines w:val="0"/>
        <w:pageBreakBefore w:val="0"/>
        <w:widowControl w:val="0"/>
        <w:kinsoku/>
        <w:wordWrap/>
        <w:overflowPunct/>
        <w:topLinePunct w:val="0"/>
        <w:autoSpaceDE/>
        <w:autoSpaceDN/>
        <w:bidi w:val="0"/>
        <w:adjustRightInd w:val="0"/>
        <w:snapToGrid w:val="0"/>
        <w:spacing w:line="500" w:lineRule="exact"/>
        <w:jc w:val="both"/>
        <w:textAlignment w:val="auto"/>
        <w:outlineLvl w:val="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三、采购项目的商务要求</w:t>
      </w:r>
    </w:p>
    <w:p w14:paraId="73F23C7A">
      <w:pPr>
        <w:pageBreakBefore w:val="0"/>
        <w:widowControl/>
        <w:kinsoku/>
        <w:wordWrap/>
        <w:overflowPunct/>
        <w:topLinePunct w:val="0"/>
        <w:bidi w:val="0"/>
        <w:spacing w:line="500" w:lineRule="exact"/>
        <w:jc w:val="left"/>
        <w:textAlignment w:val="auto"/>
        <w:rPr>
          <w:rFonts w:hint="eastAsia" w:ascii="仿宋" w:hAnsi="仿宋" w:eastAsia="仿宋" w:cs="仿宋"/>
          <w:b/>
          <w:bCs/>
          <w:color w:val="auto"/>
          <w:kern w:val="0"/>
          <w:sz w:val="24"/>
          <w:szCs w:val="24"/>
          <w:lang w:eastAsia="zh-CN"/>
        </w:rPr>
      </w:pPr>
      <w:r>
        <w:rPr>
          <w:rFonts w:hint="eastAsia" w:ascii="仿宋" w:hAnsi="仿宋" w:eastAsia="仿宋" w:cs="仿宋"/>
          <w:b/>
          <w:bCs/>
          <w:color w:val="auto"/>
          <w:kern w:val="0"/>
          <w:sz w:val="24"/>
          <w:szCs w:val="24"/>
          <w:lang w:eastAsia="zh-CN"/>
        </w:rPr>
        <w:t>（一）交货期或安装施工期限</w:t>
      </w:r>
    </w:p>
    <w:p w14:paraId="6753EC01">
      <w:pPr>
        <w:pageBreakBefore w:val="0"/>
        <w:widowControl/>
        <w:kinsoku/>
        <w:wordWrap/>
        <w:overflowPunct/>
        <w:topLinePunct w:val="0"/>
        <w:bidi w:val="0"/>
        <w:spacing w:line="500" w:lineRule="exact"/>
        <w:ind w:firstLine="480" w:firstLineChars="200"/>
        <w:jc w:val="left"/>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eastAsia="zh-CN"/>
        </w:rPr>
        <w:t>1.交货时间：合同签订之日起</w:t>
      </w:r>
      <w:r>
        <w:rPr>
          <w:rFonts w:hint="eastAsia" w:ascii="仿宋" w:hAnsi="仿宋" w:eastAsia="仿宋" w:cs="仿宋"/>
          <w:color w:val="auto"/>
          <w:kern w:val="0"/>
          <w:sz w:val="24"/>
          <w:szCs w:val="24"/>
          <w:u w:val="single"/>
          <w:lang w:eastAsia="zh-CN"/>
        </w:rPr>
        <w:t xml:space="preserve"> 30 </w:t>
      </w:r>
      <w:r>
        <w:rPr>
          <w:rFonts w:hint="eastAsia" w:ascii="仿宋" w:hAnsi="仿宋" w:eastAsia="仿宋" w:cs="仿宋"/>
          <w:color w:val="auto"/>
          <w:kern w:val="0"/>
          <w:sz w:val="24"/>
          <w:szCs w:val="24"/>
          <w:lang w:eastAsia="zh-CN"/>
        </w:rPr>
        <w:t xml:space="preserve">日内完成交付。 </w:t>
      </w:r>
    </w:p>
    <w:p w14:paraId="3922CD48">
      <w:pPr>
        <w:pageBreakBefore w:val="0"/>
        <w:widowControl/>
        <w:kinsoku/>
        <w:wordWrap/>
        <w:overflowPunct/>
        <w:topLinePunct w:val="0"/>
        <w:bidi w:val="0"/>
        <w:spacing w:line="500" w:lineRule="exact"/>
        <w:ind w:firstLine="480" w:firstLineChars="200"/>
        <w:jc w:val="left"/>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eastAsia="zh-CN"/>
        </w:rPr>
        <w:t>2.交货地点：湖南省长沙市，采购人指定地点。</w:t>
      </w:r>
    </w:p>
    <w:p w14:paraId="322084AF">
      <w:pPr>
        <w:pageBreakBefore w:val="0"/>
        <w:widowControl/>
        <w:kinsoku/>
        <w:wordWrap/>
        <w:overflowPunct/>
        <w:topLinePunct w:val="0"/>
        <w:bidi w:val="0"/>
        <w:spacing w:line="500" w:lineRule="exact"/>
        <w:ind w:firstLine="480" w:firstLineChars="200"/>
        <w:jc w:val="left"/>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eastAsia="zh-CN"/>
        </w:rPr>
        <w:t>3.交货方式：由供应商将货物送达采购单位指定地点当面交付。</w:t>
      </w:r>
    </w:p>
    <w:p w14:paraId="443D8458">
      <w:pPr>
        <w:pageBreakBefore w:val="0"/>
        <w:widowControl/>
        <w:kinsoku/>
        <w:wordWrap/>
        <w:overflowPunct/>
        <w:topLinePunct w:val="0"/>
        <w:bidi w:val="0"/>
        <w:spacing w:line="500" w:lineRule="exact"/>
        <w:jc w:val="left"/>
        <w:textAlignment w:val="auto"/>
        <w:rPr>
          <w:rFonts w:hint="eastAsia" w:ascii="仿宋" w:hAnsi="仿宋" w:eastAsia="仿宋" w:cs="仿宋"/>
          <w:b/>
          <w:bCs/>
          <w:color w:val="auto"/>
          <w:kern w:val="0"/>
          <w:sz w:val="24"/>
          <w:szCs w:val="24"/>
          <w:lang w:eastAsia="zh-CN"/>
        </w:rPr>
      </w:pPr>
      <w:r>
        <w:rPr>
          <w:rFonts w:hint="eastAsia" w:ascii="仿宋" w:hAnsi="仿宋" w:eastAsia="仿宋" w:cs="仿宋"/>
          <w:b/>
          <w:bCs/>
          <w:color w:val="auto"/>
          <w:kern w:val="0"/>
          <w:sz w:val="24"/>
          <w:szCs w:val="24"/>
          <w:lang w:eastAsia="zh-CN"/>
        </w:rPr>
        <w:t>（二）服务要求</w:t>
      </w:r>
    </w:p>
    <w:p w14:paraId="3B0B9DBA">
      <w:pPr>
        <w:pageBreakBefore w:val="0"/>
        <w:widowControl/>
        <w:kinsoku/>
        <w:wordWrap/>
        <w:overflowPunct/>
        <w:topLinePunct w:val="0"/>
        <w:bidi w:val="0"/>
        <w:spacing w:line="500" w:lineRule="exact"/>
        <w:ind w:firstLine="480" w:firstLineChars="200"/>
        <w:jc w:val="left"/>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eastAsia="zh-CN"/>
        </w:rPr>
        <w:t>1.质量保证期：自产品交货验收完毕之日起，所有产品均须提供至少</w:t>
      </w:r>
      <w:r>
        <w:rPr>
          <w:rFonts w:hint="eastAsia" w:ascii="仿宋" w:hAnsi="仿宋" w:eastAsia="仿宋" w:cs="仿宋"/>
          <w:color w:val="auto"/>
          <w:kern w:val="0"/>
          <w:sz w:val="24"/>
          <w:szCs w:val="24"/>
          <w:u w:val="single"/>
          <w:lang w:eastAsia="zh-CN"/>
        </w:rPr>
        <w:t xml:space="preserve"> 3 </w:t>
      </w:r>
      <w:r>
        <w:rPr>
          <w:rFonts w:hint="eastAsia" w:ascii="仿宋" w:hAnsi="仿宋" w:eastAsia="仿宋" w:cs="仿宋"/>
          <w:color w:val="auto"/>
          <w:kern w:val="0"/>
          <w:sz w:val="24"/>
          <w:szCs w:val="24"/>
          <w:lang w:eastAsia="zh-CN"/>
        </w:rPr>
        <w:t>年质保服务。</w:t>
      </w:r>
    </w:p>
    <w:p w14:paraId="0E49118A">
      <w:pPr>
        <w:pageBreakBefore w:val="0"/>
        <w:widowControl/>
        <w:kinsoku/>
        <w:wordWrap/>
        <w:overflowPunct/>
        <w:topLinePunct w:val="0"/>
        <w:bidi w:val="0"/>
        <w:spacing w:line="500" w:lineRule="exact"/>
        <w:ind w:firstLine="480" w:firstLineChars="200"/>
        <w:jc w:val="left"/>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eastAsia="zh-CN"/>
        </w:rPr>
        <w:t>2.质保期内免费提供的服务包括：整机设备适配、维修、更换、固件升级；若更换硬盘，旧硬盘不返还厂家。</w:t>
      </w:r>
    </w:p>
    <w:p w14:paraId="3FF50B3B">
      <w:pPr>
        <w:pageBreakBefore w:val="0"/>
        <w:widowControl/>
        <w:kinsoku/>
        <w:wordWrap/>
        <w:overflowPunct/>
        <w:topLinePunct w:val="0"/>
        <w:bidi w:val="0"/>
        <w:spacing w:line="500" w:lineRule="exact"/>
        <w:ind w:firstLine="480" w:firstLineChars="200"/>
        <w:jc w:val="left"/>
        <w:textAlignment w:val="auto"/>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3.具备原厂技术认证的本地专业技术团队或人员。</w:t>
      </w:r>
    </w:p>
    <w:p w14:paraId="2D76D09A">
      <w:pPr>
        <w:pageBreakBefore w:val="0"/>
        <w:widowControl/>
        <w:kinsoku/>
        <w:wordWrap/>
        <w:overflowPunct/>
        <w:topLinePunct w:val="0"/>
        <w:bidi w:val="0"/>
        <w:spacing w:line="500" w:lineRule="exact"/>
        <w:ind w:firstLine="480" w:firstLineChars="200"/>
        <w:jc w:val="left"/>
        <w:textAlignment w:val="auto"/>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4.具备货物原厂授权书，针对本项目所采购产品的有效授权。</w:t>
      </w:r>
    </w:p>
    <w:p w14:paraId="68AD9023">
      <w:pPr>
        <w:pageBreakBefore w:val="0"/>
        <w:widowControl/>
        <w:kinsoku/>
        <w:wordWrap/>
        <w:overflowPunct/>
        <w:topLinePunct w:val="0"/>
        <w:bidi w:val="0"/>
        <w:spacing w:line="500" w:lineRule="exact"/>
        <w:jc w:val="left"/>
        <w:textAlignment w:val="auto"/>
        <w:rPr>
          <w:rFonts w:hint="eastAsia" w:ascii="仿宋" w:hAnsi="仿宋" w:eastAsia="仿宋" w:cs="仿宋"/>
          <w:b/>
          <w:bCs/>
          <w:color w:val="auto"/>
          <w:kern w:val="0"/>
          <w:sz w:val="24"/>
          <w:szCs w:val="24"/>
          <w:lang w:eastAsia="zh-CN"/>
        </w:rPr>
      </w:pPr>
      <w:r>
        <w:rPr>
          <w:rFonts w:hint="eastAsia" w:ascii="仿宋" w:hAnsi="仿宋" w:eastAsia="仿宋" w:cs="仿宋"/>
          <w:b/>
          <w:bCs/>
          <w:color w:val="auto"/>
          <w:kern w:val="0"/>
          <w:sz w:val="24"/>
          <w:szCs w:val="24"/>
          <w:lang w:eastAsia="zh-CN"/>
        </w:rPr>
        <w:t>（三）付款要求</w:t>
      </w:r>
    </w:p>
    <w:p w14:paraId="72D17077">
      <w:pPr>
        <w:pageBreakBefore w:val="0"/>
        <w:widowControl/>
        <w:kinsoku/>
        <w:wordWrap/>
        <w:overflowPunct/>
        <w:topLinePunct w:val="0"/>
        <w:bidi w:val="0"/>
        <w:spacing w:line="500" w:lineRule="exact"/>
        <w:ind w:firstLine="480" w:firstLineChars="200"/>
        <w:jc w:val="left"/>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val="en-US" w:eastAsia="zh-CN"/>
        </w:rPr>
        <w:t>1</w:t>
      </w:r>
      <w:r>
        <w:rPr>
          <w:rFonts w:hint="eastAsia" w:ascii="仿宋" w:hAnsi="仿宋" w:eastAsia="仿宋" w:cs="仿宋"/>
          <w:color w:val="auto"/>
          <w:kern w:val="0"/>
          <w:sz w:val="24"/>
          <w:szCs w:val="24"/>
          <w:lang w:eastAsia="zh-CN"/>
        </w:rPr>
        <w:t xml:space="preserve">.货到合同指定地点并安装调试验收合格后，凭验收报告在 </w:t>
      </w:r>
      <w:r>
        <w:rPr>
          <w:rFonts w:hint="eastAsia" w:ascii="仿宋" w:hAnsi="仿宋" w:eastAsia="仿宋" w:cs="仿宋"/>
          <w:color w:val="auto"/>
          <w:kern w:val="0"/>
          <w:sz w:val="24"/>
          <w:szCs w:val="24"/>
          <w:u w:val="single"/>
          <w:lang w:eastAsia="zh-CN"/>
        </w:rPr>
        <w:t xml:space="preserve">10 </w:t>
      </w:r>
      <w:r>
        <w:rPr>
          <w:rFonts w:hint="eastAsia" w:ascii="仿宋" w:hAnsi="仿宋" w:eastAsia="仿宋" w:cs="仿宋"/>
          <w:color w:val="auto"/>
          <w:kern w:val="0"/>
          <w:sz w:val="24"/>
          <w:szCs w:val="24"/>
          <w:lang w:eastAsia="zh-CN"/>
        </w:rPr>
        <w:t>个工作日内支付合同总金额的</w:t>
      </w:r>
      <w:r>
        <w:rPr>
          <w:rFonts w:hint="eastAsia" w:ascii="仿宋" w:hAnsi="仿宋" w:eastAsia="仿宋" w:cs="仿宋"/>
          <w:color w:val="auto"/>
          <w:kern w:val="0"/>
          <w:sz w:val="24"/>
          <w:szCs w:val="24"/>
          <w:u w:val="single"/>
          <w:lang w:eastAsia="zh-CN"/>
        </w:rPr>
        <w:t xml:space="preserve"> 100% </w:t>
      </w:r>
      <w:r>
        <w:rPr>
          <w:rFonts w:hint="eastAsia" w:ascii="仿宋" w:hAnsi="仿宋" w:eastAsia="仿宋" w:cs="仿宋"/>
          <w:color w:val="auto"/>
          <w:kern w:val="0"/>
          <w:sz w:val="24"/>
          <w:szCs w:val="24"/>
          <w:lang w:eastAsia="zh-CN"/>
        </w:rPr>
        <w:t xml:space="preserve">； </w:t>
      </w:r>
    </w:p>
    <w:p w14:paraId="5C01DD4C">
      <w:pPr>
        <w:pageBreakBefore w:val="0"/>
        <w:widowControl/>
        <w:kinsoku/>
        <w:wordWrap/>
        <w:overflowPunct/>
        <w:topLinePunct w:val="0"/>
        <w:bidi w:val="0"/>
        <w:spacing w:line="500" w:lineRule="exact"/>
        <w:ind w:firstLine="480" w:firstLineChars="200"/>
        <w:jc w:val="left"/>
        <w:textAlignment w:val="auto"/>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r>
        <w:rPr>
          <w:rFonts w:hint="eastAsia" w:ascii="仿宋" w:hAnsi="仿宋" w:eastAsia="仿宋" w:cs="仿宋"/>
          <w:color w:val="auto"/>
          <w:kern w:val="0"/>
          <w:sz w:val="24"/>
          <w:szCs w:val="24"/>
          <w:lang w:eastAsia="zh-CN"/>
        </w:rPr>
        <w:t>.在验收合格之日起</w:t>
      </w:r>
      <w:r>
        <w:rPr>
          <w:rFonts w:hint="eastAsia" w:ascii="仿宋" w:hAnsi="仿宋" w:eastAsia="仿宋" w:cs="仿宋"/>
          <w:color w:val="auto"/>
          <w:kern w:val="0"/>
          <w:sz w:val="24"/>
          <w:szCs w:val="24"/>
          <w:u w:val="single"/>
          <w:lang w:eastAsia="zh-CN"/>
        </w:rPr>
        <w:t xml:space="preserve"> 36 </w:t>
      </w:r>
      <w:r>
        <w:rPr>
          <w:rFonts w:hint="eastAsia" w:ascii="仿宋" w:hAnsi="仿宋" w:eastAsia="仿宋" w:cs="仿宋"/>
          <w:color w:val="auto"/>
          <w:kern w:val="0"/>
          <w:sz w:val="24"/>
          <w:szCs w:val="24"/>
          <w:lang w:eastAsia="zh-CN"/>
        </w:rPr>
        <w:t xml:space="preserve">月后无质量问题，经用户认可，一次性将合同质保金无息退还乙方。 </w:t>
      </w:r>
    </w:p>
    <w:p w14:paraId="1F2522E1">
      <w:pPr>
        <w:keepNext/>
        <w:pageBreakBefore w:val="0"/>
        <w:kinsoku/>
        <w:wordWrap/>
        <w:overflowPunct/>
        <w:topLinePunct w:val="0"/>
        <w:bidi w:val="0"/>
        <w:adjustRightInd w:val="0"/>
        <w:snapToGrid w:val="0"/>
        <w:spacing w:line="500" w:lineRule="exact"/>
        <w:jc w:val="both"/>
        <w:textAlignment w:val="auto"/>
        <w:outlineLvl w:val="0"/>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eastAsia="zh-CN"/>
        </w:rPr>
        <w:t>（</w:t>
      </w:r>
      <w:r>
        <w:rPr>
          <w:rFonts w:hint="eastAsia" w:ascii="仿宋" w:hAnsi="仿宋" w:eastAsia="仿宋" w:cs="仿宋"/>
          <w:b/>
          <w:bCs/>
          <w:color w:val="auto"/>
          <w:kern w:val="0"/>
          <w:sz w:val="24"/>
          <w:szCs w:val="24"/>
          <w:highlight w:val="none"/>
          <w:lang w:val="en-US" w:eastAsia="zh-CN"/>
        </w:rPr>
        <w:t>四</w:t>
      </w:r>
      <w:r>
        <w:rPr>
          <w:rFonts w:hint="eastAsia" w:ascii="仿宋" w:hAnsi="仿宋" w:eastAsia="仿宋" w:cs="仿宋"/>
          <w:b/>
          <w:bCs/>
          <w:color w:val="auto"/>
          <w:kern w:val="0"/>
          <w:sz w:val="24"/>
          <w:szCs w:val="24"/>
          <w:highlight w:val="none"/>
          <w:lang w:eastAsia="zh-CN"/>
        </w:rPr>
        <w:t>）</w:t>
      </w:r>
      <w:bookmarkStart w:id="3" w:name="OLE_LINK7"/>
      <w:r>
        <w:rPr>
          <w:rFonts w:hint="eastAsia" w:ascii="仿宋" w:hAnsi="仿宋" w:eastAsia="仿宋" w:cs="仿宋"/>
          <w:b/>
          <w:bCs/>
          <w:color w:val="auto"/>
          <w:sz w:val="24"/>
          <w:szCs w:val="24"/>
          <w:highlight w:val="none"/>
        </w:rPr>
        <w:t>供应商</w:t>
      </w:r>
      <w:r>
        <w:rPr>
          <w:rFonts w:hint="eastAsia" w:ascii="仿宋" w:hAnsi="仿宋" w:eastAsia="仿宋" w:cs="仿宋"/>
          <w:b/>
          <w:bCs/>
          <w:color w:val="auto"/>
          <w:kern w:val="0"/>
          <w:sz w:val="24"/>
          <w:szCs w:val="24"/>
          <w:highlight w:val="none"/>
          <w:lang w:eastAsia="zh-CN"/>
        </w:rPr>
        <w:t>承诺</w:t>
      </w:r>
    </w:p>
    <w:p w14:paraId="2CEFD78D">
      <w:pPr>
        <w:keepNext/>
        <w:pageBreakBefore w:val="0"/>
        <w:kinsoku/>
        <w:wordWrap/>
        <w:overflowPunct/>
        <w:topLinePunct w:val="0"/>
        <w:bidi w:val="0"/>
        <w:adjustRightInd w:val="0"/>
        <w:snapToGrid w:val="0"/>
        <w:spacing w:line="500" w:lineRule="exact"/>
        <w:ind w:firstLine="480" w:firstLineChars="200"/>
        <w:jc w:val="both"/>
        <w:textAlignment w:val="auto"/>
        <w:outlineLvl w:val="0"/>
        <w:rPr>
          <w:rFonts w:hint="eastAsia" w:ascii="仿宋" w:hAnsi="仿宋" w:eastAsia="仿宋" w:cs="仿宋"/>
          <w:b w:val="0"/>
          <w:bCs w:val="0"/>
          <w:color w:val="auto"/>
          <w:kern w:val="0"/>
          <w:sz w:val="24"/>
          <w:szCs w:val="24"/>
          <w:highlight w:val="none"/>
          <w:lang w:eastAsia="zh-CN"/>
        </w:rPr>
      </w:pPr>
      <w:r>
        <w:rPr>
          <w:rFonts w:hint="eastAsia" w:ascii="仿宋" w:hAnsi="仿宋" w:eastAsia="仿宋" w:cs="仿宋"/>
          <w:b w:val="0"/>
          <w:bCs w:val="0"/>
          <w:color w:val="auto"/>
          <w:kern w:val="0"/>
          <w:sz w:val="24"/>
          <w:szCs w:val="24"/>
          <w:highlight w:val="none"/>
          <w:lang w:eastAsia="zh-CN"/>
        </w:rPr>
        <w:t>供应商承诺未虚假响应、</w:t>
      </w:r>
      <w:r>
        <w:rPr>
          <w:rFonts w:hint="eastAsia" w:ascii="仿宋" w:hAnsi="仿宋" w:eastAsia="仿宋" w:cs="仿宋"/>
          <w:b w:val="0"/>
          <w:bCs w:val="0"/>
          <w:color w:val="auto"/>
          <w:kern w:val="0"/>
          <w:sz w:val="24"/>
          <w:szCs w:val="24"/>
          <w:highlight w:val="none"/>
          <w:lang w:val="en-US" w:eastAsia="zh-CN"/>
        </w:rPr>
        <w:t>未</w:t>
      </w:r>
      <w:r>
        <w:rPr>
          <w:rFonts w:hint="eastAsia" w:ascii="仿宋" w:hAnsi="仿宋" w:eastAsia="仿宋" w:cs="仿宋"/>
          <w:b w:val="0"/>
          <w:bCs w:val="0"/>
          <w:color w:val="auto"/>
          <w:kern w:val="0"/>
          <w:sz w:val="24"/>
          <w:szCs w:val="24"/>
          <w:highlight w:val="none"/>
          <w:lang w:eastAsia="zh-CN"/>
        </w:rPr>
        <w:t>提供虚假材料，</w:t>
      </w:r>
      <w:r>
        <w:rPr>
          <w:rFonts w:hint="eastAsia" w:ascii="仿宋" w:hAnsi="仿宋" w:eastAsia="仿宋" w:cs="仿宋"/>
          <w:b w:val="0"/>
          <w:bCs w:val="0"/>
          <w:color w:val="auto"/>
          <w:kern w:val="0"/>
          <w:sz w:val="24"/>
          <w:szCs w:val="24"/>
          <w:highlight w:val="none"/>
          <w:lang w:val="en-US" w:eastAsia="zh-CN"/>
        </w:rPr>
        <w:t>否则按废标处理；若为成交供应商，则</w:t>
      </w:r>
      <w:r>
        <w:rPr>
          <w:rFonts w:hint="eastAsia" w:ascii="仿宋" w:hAnsi="仿宋" w:eastAsia="仿宋" w:cs="仿宋"/>
          <w:b w:val="0"/>
          <w:bCs w:val="0"/>
          <w:color w:val="auto"/>
          <w:kern w:val="0"/>
          <w:sz w:val="24"/>
          <w:szCs w:val="24"/>
          <w:highlight w:val="none"/>
          <w:lang w:eastAsia="zh-CN"/>
        </w:rPr>
        <w:t>取消</w:t>
      </w:r>
      <w:r>
        <w:rPr>
          <w:rFonts w:hint="eastAsia" w:ascii="仿宋" w:hAnsi="仿宋" w:eastAsia="仿宋" w:cs="仿宋"/>
          <w:b w:val="0"/>
          <w:bCs w:val="0"/>
          <w:color w:val="auto"/>
          <w:kern w:val="0"/>
          <w:sz w:val="24"/>
          <w:szCs w:val="24"/>
          <w:highlight w:val="none"/>
          <w:lang w:val="en-US" w:eastAsia="zh-CN"/>
        </w:rPr>
        <w:t>成交</w:t>
      </w:r>
      <w:r>
        <w:rPr>
          <w:rFonts w:hint="eastAsia" w:ascii="仿宋" w:hAnsi="仿宋" w:eastAsia="仿宋" w:cs="仿宋"/>
          <w:b w:val="0"/>
          <w:bCs w:val="0"/>
          <w:color w:val="auto"/>
          <w:kern w:val="0"/>
          <w:sz w:val="24"/>
          <w:szCs w:val="24"/>
          <w:highlight w:val="none"/>
          <w:lang w:eastAsia="zh-CN"/>
        </w:rPr>
        <w:t>资格，承担法律责任，</w:t>
      </w:r>
      <w:r>
        <w:rPr>
          <w:rFonts w:hint="eastAsia" w:ascii="仿宋" w:hAnsi="仿宋" w:eastAsia="仿宋" w:cs="仿宋"/>
          <w:b w:val="0"/>
          <w:bCs w:val="0"/>
          <w:color w:val="auto"/>
          <w:kern w:val="0"/>
          <w:sz w:val="24"/>
          <w:szCs w:val="24"/>
          <w:highlight w:val="none"/>
          <w:lang w:val="en-US" w:eastAsia="zh-CN"/>
        </w:rPr>
        <w:t>并</w:t>
      </w:r>
      <w:r>
        <w:rPr>
          <w:rFonts w:hint="eastAsia" w:ascii="仿宋" w:hAnsi="仿宋" w:eastAsia="仿宋" w:cs="仿宋"/>
          <w:b w:val="0"/>
          <w:bCs w:val="0"/>
          <w:color w:val="auto"/>
          <w:kern w:val="0"/>
          <w:sz w:val="24"/>
          <w:szCs w:val="24"/>
          <w:highlight w:val="none"/>
          <w:lang w:eastAsia="zh-CN"/>
        </w:rPr>
        <w:t>接受相应处罚。（本项由</w:t>
      </w:r>
      <w:r>
        <w:rPr>
          <w:rFonts w:hint="eastAsia" w:ascii="仿宋" w:hAnsi="仿宋" w:eastAsia="仿宋" w:cs="仿宋"/>
          <w:b w:val="0"/>
          <w:bCs w:val="0"/>
          <w:color w:val="auto"/>
          <w:sz w:val="24"/>
          <w:szCs w:val="24"/>
          <w:highlight w:val="none"/>
        </w:rPr>
        <w:t>供应商</w:t>
      </w:r>
      <w:r>
        <w:rPr>
          <w:rFonts w:hint="eastAsia" w:ascii="仿宋" w:hAnsi="仿宋" w:eastAsia="仿宋" w:cs="仿宋"/>
          <w:b w:val="0"/>
          <w:bCs w:val="0"/>
          <w:color w:val="auto"/>
          <w:kern w:val="0"/>
          <w:sz w:val="24"/>
          <w:szCs w:val="24"/>
          <w:highlight w:val="none"/>
          <w:lang w:eastAsia="zh-CN"/>
        </w:rPr>
        <w:t>自拟格式内容提供承诺函，并由法定代表人签名并加盖</w:t>
      </w:r>
      <w:r>
        <w:rPr>
          <w:rFonts w:hint="eastAsia" w:ascii="仿宋" w:hAnsi="仿宋" w:eastAsia="仿宋" w:cs="仿宋"/>
          <w:b w:val="0"/>
          <w:bCs w:val="0"/>
          <w:color w:val="auto"/>
          <w:sz w:val="24"/>
          <w:szCs w:val="24"/>
          <w:highlight w:val="none"/>
        </w:rPr>
        <w:t>供应商</w:t>
      </w:r>
      <w:r>
        <w:rPr>
          <w:rFonts w:hint="eastAsia" w:ascii="仿宋" w:hAnsi="仿宋" w:eastAsia="仿宋" w:cs="仿宋"/>
          <w:b w:val="0"/>
          <w:bCs w:val="0"/>
          <w:color w:val="auto"/>
          <w:kern w:val="0"/>
          <w:sz w:val="24"/>
          <w:szCs w:val="24"/>
          <w:highlight w:val="none"/>
          <w:lang w:eastAsia="zh-CN"/>
        </w:rPr>
        <w:t>公章）</w:t>
      </w:r>
      <w:bookmarkEnd w:id="3"/>
      <w:r>
        <w:rPr>
          <w:rFonts w:hint="eastAsia" w:ascii="仿宋" w:hAnsi="仿宋" w:eastAsia="仿宋" w:cs="仿宋"/>
          <w:b w:val="0"/>
          <w:bCs w:val="0"/>
          <w:color w:val="auto"/>
          <w:kern w:val="0"/>
          <w:sz w:val="24"/>
          <w:szCs w:val="24"/>
          <w:highlight w:val="none"/>
          <w:lang w:eastAsia="zh-CN"/>
        </w:rPr>
        <w:t>。</w:t>
      </w:r>
    </w:p>
    <w:p w14:paraId="6B2DB8DA">
      <w:pPr>
        <w:keepNext/>
        <w:pageBreakBefore w:val="0"/>
        <w:kinsoku/>
        <w:wordWrap/>
        <w:overflowPunct/>
        <w:topLinePunct w:val="0"/>
        <w:bidi w:val="0"/>
        <w:adjustRightInd w:val="0"/>
        <w:snapToGrid w:val="0"/>
        <w:spacing w:line="500" w:lineRule="exact"/>
        <w:ind w:firstLine="480" w:firstLineChars="200"/>
        <w:jc w:val="both"/>
        <w:textAlignment w:val="auto"/>
        <w:outlineLvl w:val="0"/>
        <w:rPr>
          <w:rFonts w:hint="default"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eastAsia="zh-CN"/>
        </w:rPr>
        <w:t>“虚假”</w:t>
      </w:r>
      <w:r>
        <w:rPr>
          <w:rFonts w:hint="eastAsia" w:ascii="仿宋" w:hAnsi="仿宋" w:eastAsia="仿宋" w:cs="仿宋"/>
          <w:b w:val="0"/>
          <w:bCs w:val="0"/>
          <w:color w:val="auto"/>
          <w:kern w:val="0"/>
          <w:sz w:val="24"/>
          <w:szCs w:val="24"/>
          <w:highlight w:val="none"/>
          <w:lang w:val="en-US" w:eastAsia="zh-CN"/>
        </w:rPr>
        <w:t>指伪造、变造、篡改的行为或事实，也包括与事实不符的行为。</w:t>
      </w:r>
    </w:p>
    <w:p w14:paraId="43FBA5D8">
      <w:r>
        <w:rPr>
          <w:rFonts w:hint="eastAsia" w:ascii="仿宋" w:hAnsi="仿宋" w:eastAsia="仿宋" w:cs="仿宋"/>
          <w:b/>
          <w:bCs/>
          <w:color w:val="auto"/>
          <w:kern w:val="0"/>
          <w:sz w:val="24"/>
          <w:szCs w:val="24"/>
          <w:highlight w:val="none"/>
          <w:lang w:eastAsia="zh-CN"/>
        </w:rPr>
        <w:t>（</w:t>
      </w:r>
      <w:r>
        <w:rPr>
          <w:rFonts w:hint="eastAsia" w:ascii="仿宋" w:hAnsi="仿宋" w:eastAsia="仿宋" w:cs="仿宋"/>
          <w:b/>
          <w:bCs/>
          <w:color w:val="auto"/>
          <w:kern w:val="0"/>
          <w:sz w:val="24"/>
          <w:szCs w:val="24"/>
          <w:highlight w:val="none"/>
          <w:lang w:val="en-US" w:eastAsia="zh-CN"/>
        </w:rPr>
        <w:t>五</w:t>
      </w:r>
      <w:r>
        <w:rPr>
          <w:rFonts w:hint="eastAsia" w:ascii="仿宋" w:hAnsi="仿宋" w:eastAsia="仿宋" w:cs="仿宋"/>
          <w:b/>
          <w:bCs/>
          <w:color w:val="auto"/>
          <w:kern w:val="0"/>
          <w:sz w:val="24"/>
          <w:szCs w:val="24"/>
          <w:highlight w:val="none"/>
          <w:lang w:eastAsia="zh-CN"/>
        </w:rPr>
        <w:t>）对于上述项目要求，供应商应在</w:t>
      </w:r>
      <w:r>
        <w:rPr>
          <w:rFonts w:hint="eastAsia" w:ascii="仿宋" w:hAnsi="仿宋" w:eastAsia="仿宋" w:cs="仿宋"/>
          <w:b/>
          <w:bCs/>
          <w:color w:val="auto"/>
          <w:kern w:val="0"/>
          <w:sz w:val="24"/>
          <w:szCs w:val="24"/>
          <w:highlight w:val="none"/>
          <w:lang w:val="en-US" w:eastAsia="zh-CN"/>
        </w:rPr>
        <w:t>响应</w:t>
      </w:r>
      <w:r>
        <w:rPr>
          <w:rFonts w:hint="eastAsia" w:ascii="仿宋" w:hAnsi="仿宋" w:eastAsia="仿宋" w:cs="仿宋"/>
          <w:b/>
          <w:bCs/>
          <w:color w:val="auto"/>
          <w:kern w:val="0"/>
          <w:sz w:val="24"/>
          <w:szCs w:val="24"/>
          <w:highlight w:val="none"/>
          <w:lang w:eastAsia="zh-CN"/>
        </w:rPr>
        <w:t>文件中</w:t>
      </w:r>
      <w:r>
        <w:rPr>
          <w:rFonts w:hint="eastAsia" w:ascii="仿宋" w:hAnsi="仿宋" w:eastAsia="仿宋" w:cs="仿宋"/>
          <w:b/>
          <w:bCs/>
          <w:color w:val="auto"/>
          <w:kern w:val="0"/>
          <w:sz w:val="24"/>
          <w:szCs w:val="24"/>
          <w:highlight w:val="none"/>
          <w:lang w:val="en-US" w:eastAsia="zh-CN"/>
        </w:rPr>
        <w:t>逐条</w:t>
      </w:r>
      <w:r>
        <w:rPr>
          <w:rFonts w:hint="eastAsia" w:ascii="仿宋" w:hAnsi="仿宋" w:eastAsia="仿宋" w:cs="仿宋"/>
          <w:b/>
          <w:bCs/>
          <w:color w:val="auto"/>
          <w:kern w:val="0"/>
          <w:sz w:val="24"/>
          <w:szCs w:val="24"/>
          <w:highlight w:val="none"/>
          <w:lang w:eastAsia="zh-CN"/>
        </w:rPr>
        <w:t>进行回应，作出承诺及说明。</w:t>
      </w:r>
    </w:p>
    <w:sectPr>
      <w:pgSz w:w="11906" w:h="16838"/>
      <w:pgMar w:top="1440" w:right="1800" w:bottom="1440" w:left="1800" w:header="851" w:footer="992" w:gutter="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1" w:usb1="080E0000" w:usb2="00000000" w:usb3="00000000" w:csb0="00040000" w:csb1="00000000"/>
  </w:font>
  <w:font w:name="仿宋_GB2312">
    <w:altName w:val="仿宋"/>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F940A9"/>
    <w:multiLevelType w:val="multilevel"/>
    <w:tmpl w:val="B0F940A9"/>
    <w:lvl w:ilvl="0" w:tentative="0">
      <w:start w:val="1"/>
      <w:numFmt w:val="chineseCounting"/>
      <w:suff w:val="nothing"/>
      <w:lvlText w:val="%1、"/>
      <w:lvlJc w:val="left"/>
      <w:pPr>
        <w:tabs>
          <w:tab w:val="left" w:pos="0"/>
        </w:tabs>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upp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C81830A2"/>
    <w:multiLevelType w:val="multilevel"/>
    <w:tmpl w:val="C81830A2"/>
    <w:lvl w:ilvl="0" w:tentative="0">
      <w:start w:val="1"/>
      <w:numFmt w:val="chineseCounting"/>
      <w:pStyle w:val="2"/>
      <w:suff w:val="nothing"/>
      <w:lvlText w:val="%1、"/>
      <w:lvlJc w:val="left"/>
      <w:pPr>
        <w:tabs>
          <w:tab w:val="left" w:pos="0"/>
        </w:tabs>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upp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1ZmY1YWMyOTViNTZkYmQ5ZTY5Y2ZiYTdmNDI4NjQifQ=="/>
  </w:docVars>
  <w:rsids>
    <w:rsidRoot w:val="50C1633C"/>
    <w:rsid w:val="1F5A23D9"/>
    <w:rsid w:val="36C5109F"/>
    <w:rsid w:val="50C1633C"/>
    <w:rsid w:val="54354E9B"/>
    <w:rsid w:val="74192817"/>
    <w:rsid w:val="748A60F4"/>
    <w:rsid w:val="764568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link w:val="9"/>
    <w:qFormat/>
    <w:uiPriority w:val="0"/>
    <w:pPr>
      <w:keepNext/>
      <w:numPr>
        <w:ilvl w:val="0"/>
        <w:numId w:val="1"/>
      </w:numPr>
      <w:spacing w:before="50" w:beforeLines="50" w:after="50" w:afterLines="50" w:line="240" w:lineRule="auto"/>
      <w:ind w:firstLine="0" w:firstLineChars="0"/>
      <w:jc w:val="center"/>
      <w:outlineLvl w:val="0"/>
    </w:pPr>
    <w:rPr>
      <w:rFonts w:ascii="Times New Roman" w:hAnsi="Times New Roman" w:eastAsia="黑体" w:cs="Times New Roman"/>
      <w:bCs/>
      <w:kern w:val="0"/>
      <w:sz w:val="32"/>
      <w:szCs w:val="20"/>
    </w:rPr>
  </w:style>
  <w:style w:type="paragraph" w:styleId="3">
    <w:name w:val="heading 2"/>
    <w:next w:val="1"/>
    <w:link w:val="10"/>
    <w:unhideWhenUsed/>
    <w:qFormat/>
    <w:uiPriority w:val="0"/>
    <w:pPr>
      <w:keepNext/>
      <w:keepLines/>
      <w:numPr>
        <w:ilvl w:val="1"/>
        <w:numId w:val="1"/>
      </w:numPr>
      <w:spacing w:beforeLines="0" w:beforeAutospacing="0" w:afterLines="0" w:afterAutospacing="0" w:line="600" w:lineRule="exact"/>
      <w:ind w:firstLine="0" w:firstLineChars="0"/>
      <w:jc w:val="center"/>
      <w:outlineLvl w:val="1"/>
    </w:pPr>
    <w:rPr>
      <w:rFonts w:ascii="Times New Roman" w:hAnsi="Times New Roman" w:eastAsia="楷体_GB2312" w:cs="Times New Roman"/>
      <w:b/>
      <w:sz w:val="32"/>
    </w:rPr>
  </w:style>
  <w:style w:type="paragraph" w:styleId="4">
    <w:name w:val="heading 3"/>
    <w:basedOn w:val="1"/>
    <w:next w:val="1"/>
    <w:link w:val="11"/>
    <w:unhideWhenUsed/>
    <w:qFormat/>
    <w:uiPriority w:val="0"/>
    <w:pPr>
      <w:spacing w:beforeAutospacing="0" w:afterAutospacing="0"/>
      <w:jc w:val="left"/>
      <w:outlineLvl w:val="2"/>
    </w:pPr>
    <w:rPr>
      <w:rFonts w:hint="eastAsia" w:ascii="宋体" w:hAnsi="宋体" w:eastAsia="仿宋_GB2312" w:cs="宋体"/>
      <w:b/>
      <w:bCs/>
      <w:kern w:val="0"/>
      <w:sz w:val="32"/>
      <w:szCs w:val="27"/>
      <w:lang w:bidi="ar"/>
    </w:rPr>
  </w:style>
  <w:style w:type="paragraph" w:styleId="5">
    <w:name w:val="heading 4"/>
    <w:next w:val="1"/>
    <w:link w:val="12"/>
    <w:unhideWhenUsed/>
    <w:qFormat/>
    <w:uiPriority w:val="0"/>
    <w:pPr>
      <w:keepNext/>
      <w:keepLines/>
      <w:numPr>
        <w:ilvl w:val="3"/>
        <w:numId w:val="2"/>
      </w:numPr>
      <w:spacing w:beforeLines="0" w:beforeAutospacing="0" w:afterLines="0" w:afterAutospacing="0" w:line="360" w:lineRule="auto"/>
      <w:ind w:firstLine="720" w:firstLineChars="200"/>
      <w:jc w:val="left"/>
      <w:outlineLvl w:val="3"/>
    </w:pPr>
    <w:rPr>
      <w:rFonts w:ascii="Arial" w:hAnsi="Arial" w:eastAsia="仿宋_GB2312" w:cs="Times New Roman"/>
      <w:b/>
      <w:color w:val="auto"/>
      <w:kern w:val="0"/>
      <w:sz w:val="32"/>
      <w:szCs w:val="32"/>
    </w:rPr>
  </w:style>
  <w:style w:type="character" w:default="1" w:styleId="8">
    <w:name w:val="Default Paragraph Font"/>
    <w:semiHidden/>
    <w:qFormat/>
    <w:uiPriority w:val="0"/>
  </w:style>
  <w:style w:type="table" w:default="1" w:styleId="6">
    <w:name w:val="Normal Table"/>
    <w:semiHidden/>
    <w:qFormat/>
    <w:uiPriority w:val="0"/>
    <w:tblPr>
      <w:tblStyle w:val="6"/>
      <w:tblCellMar>
        <w:top w:w="0" w:type="dxa"/>
        <w:left w:w="108" w:type="dxa"/>
        <w:bottom w:w="0" w:type="dxa"/>
        <w:right w:w="108" w:type="dxa"/>
      </w:tblCellMar>
    </w:tblPr>
  </w:style>
  <w:style w:type="table" w:styleId="7">
    <w:name w:val="Table Grid"/>
    <w:qFormat/>
    <w:uiPriority w:val="0"/>
    <w:pPr>
      <w:widowControl w:val="0"/>
      <w:jc w:val="both"/>
    </w:pPr>
    <w:rPr>
      <w:rFonts w:ascii="Times New Roman" w:hAnsi="Times New Roman" w:eastAsia="宋体" w:cs="Times New Roman"/>
    </w:rPr>
    <w:tblPr>
      <w:tblStyle w:val="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1 Char1"/>
    <w:link w:val="2"/>
    <w:qFormat/>
    <w:uiPriority w:val="0"/>
    <w:rPr>
      <w:rFonts w:ascii="Times New Roman" w:hAnsi="Times New Roman" w:eastAsia="黑体" w:cs="Times New Roman"/>
      <w:bCs/>
      <w:kern w:val="0"/>
      <w:sz w:val="32"/>
      <w:szCs w:val="20"/>
    </w:rPr>
  </w:style>
  <w:style w:type="character" w:customStyle="1" w:styleId="10">
    <w:name w:val="标题 2 Char"/>
    <w:link w:val="3"/>
    <w:qFormat/>
    <w:uiPriority w:val="0"/>
    <w:rPr>
      <w:rFonts w:ascii="Times New Roman" w:hAnsi="Times New Roman" w:eastAsia="楷体_GB2312" w:cs="Times New Roman"/>
      <w:b/>
      <w:sz w:val="32"/>
    </w:rPr>
  </w:style>
  <w:style w:type="character" w:customStyle="1" w:styleId="11">
    <w:name w:val="标题 3 Char1"/>
    <w:link w:val="4"/>
    <w:qFormat/>
    <w:uiPriority w:val="0"/>
    <w:rPr>
      <w:rFonts w:hint="eastAsia" w:ascii="宋体" w:hAnsi="宋体" w:eastAsia="仿宋_GB2312" w:cs="宋体"/>
      <w:b/>
      <w:bCs/>
      <w:kern w:val="0"/>
      <w:sz w:val="32"/>
      <w:szCs w:val="27"/>
      <w:lang w:bidi="ar"/>
    </w:rPr>
  </w:style>
  <w:style w:type="character" w:customStyle="1" w:styleId="12">
    <w:name w:val="标题 4 Char"/>
    <w:link w:val="5"/>
    <w:qFormat/>
    <w:uiPriority w:val="0"/>
    <w:rPr>
      <w:rFonts w:ascii="Arial" w:hAnsi="Arial" w:eastAsia="仿宋_GB2312"/>
      <w:b/>
      <w:color w:val="auto"/>
      <w:kern w:val="0"/>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4458</Words>
  <Characters>5226</Characters>
  <Lines>0</Lines>
  <Paragraphs>0</Paragraphs>
  <TotalTime>0</TotalTime>
  <ScaleCrop>false</ScaleCrop>
  <LinksUpToDate>false</LinksUpToDate>
  <CharactersWithSpaces>5267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2025-11-24T04:53:00Z</dcterms:created>
  <dc:creator>Administrator</dc:creator>
  <cp:lastModifiedBy>韩钦</cp:lastModifiedBy>
  <dcterms:modified xsi:type="dcterms:W3CDTF">2025-11-24T07:25:34Z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24BC32251FB7448C916F9392804A90A6_13</vt:lpwstr>
  </property>
</Properties>
</file>